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3615"/>
        <w:gridCol w:w="3615"/>
        <w:tblGridChange w:id="0">
          <w:tblGrid>
            <w:gridCol w:w="2130"/>
            <w:gridCol w:w="3615"/>
            <w:gridCol w:w="36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  <w:rtl w:val="0"/>
              </w:rPr>
              <w:t xml:space="preserve">Consumer takeaway</w:t>
            </w:r>
          </w:p>
        </w:tc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  <w:rtl w:val="0"/>
              </w:rPr>
              <w:t xml:space="preserve">Blog Category </w:t>
            </w:r>
          </w:p>
        </w:tc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  <w:rtl w:val="0"/>
              </w:rPr>
              <w:t xml:space="preserve">Housing Market</w:t>
            </w:r>
          </w:p>
        </w:tc>
      </w:tr>
      <w:tr>
        <w:trPr>
          <w:cantSplit w:val="0"/>
          <w:trHeight w:val="510" w:hRule="atLeast"/>
          <w:tblHeader w:val="1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  <w:rtl w:val="0"/>
              </w:rPr>
              <w:t xml:space="preserve">Tag</w:t>
            </w:r>
          </w:p>
        </w:tc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  <w:rtl w:val="0"/>
              </w:rPr>
              <w:t xml:space="preserve">Luxury, National, Housing Affordability</w:t>
            </w:r>
          </w:p>
        </w:tc>
      </w:tr>
      <w:tr>
        <w:trPr>
          <w:cantSplit w:val="0"/>
          <w:trHeight w:val="615" w:hRule="atLeast"/>
          <w:tblHeader w:val="1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  <w:rtl w:val="0"/>
              </w:rPr>
              <w:t xml:space="preserve">URL</w:t>
            </w:r>
          </w:p>
        </w:tc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  <w:rtl w:val="0"/>
              </w:rPr>
              <w:t xml:space="preserve">https://www.redfin.com/news/luxury-housing-market-april-2026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  <w:rtl w:val="0"/>
              </w:rPr>
              <w:t xml:space="preserve">Link to Data Source</w:t>
            </w:r>
          </w:p>
        </w:tc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Libre Franklin" w:cs="Libre Franklin" w:eastAsia="Libre Franklin" w:hAnsi="Libre Franklin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Libre Franklin" w:cs="Libre Franklin" w:eastAsia="Libre Franklin" w:hAnsi="Libre Franklin"/>
                  <w:color w:val="1155cc"/>
                  <w:sz w:val="18"/>
                  <w:szCs w:val="18"/>
                  <w:u w:val="single"/>
                  <w:rtl w:val="0"/>
                </w:rPr>
                <w:t xml:space="preserve">https://docs.google.com/spreadsheets/d/1qLpR_jc9mzK2Vqe0m5zakGuU0OBFlo90ZDsJtzrWx54/edit?gid=2062152078#gid=2062152078</w:t>
              </w:r>
            </w:hyperlink>
            <w:r w:rsidDel="00000000" w:rsidR="00000000" w:rsidRPr="00000000">
              <w:rPr>
                <w:rFonts w:ascii="Libre Franklin" w:cs="Libre Franklin" w:eastAsia="Libre Franklin" w:hAnsi="Libre Frankli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Libre Franklin" w:cs="Libre Franklin" w:eastAsia="Libre Franklin" w:hAnsi="Libre Franklin"/>
                  <w:i w:val="1"/>
                  <w:iCs w:val="1"/>
                  <w:color w:val="1155cc"/>
                  <w:sz w:val="18"/>
                  <w:szCs w:val="18"/>
                  <w:u w:val="single"/>
                  <w:rtl w:val="0"/>
                </w:rPr>
                <w:t xml:space="preserve">https://us-west-2b.online.tableau.com/#/site/redfinrent/workbooks/2224674/views</w:t>
              </w:r>
            </w:hyperlink>
            <w:r w:rsidDel="00000000" w:rsidR="00000000" w:rsidRPr="00000000"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  <w:rtl w:val="0"/>
              </w:rPr>
              <w:t xml:space="preserve">Suggested social media copy</w:t>
            </w:r>
          </w:p>
        </w:tc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18"/>
                <w:szCs w:val="18"/>
                <w:rtl w:val="0"/>
              </w:rPr>
              <w:t xml:space="preserve">PR Strategy</w:t>
            </w:r>
          </w:p>
        </w:tc>
        <w:tc>
          <w:tcPr>
            <w:gridSpan w:val="2"/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Libre Franklin" w:cs="Libre Franklin" w:eastAsia="Libre Franklin" w:hAnsi="Libre Franklin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0" w:firstLine="0"/>
        <w:rPr>
          <w:rFonts w:ascii="Libre Franklin" w:cs="Libre Franklin" w:eastAsia="Libre Franklin" w:hAnsi="Libre Franklin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ibre Franklin" w:cs="Libre Franklin" w:eastAsia="Libre Franklin" w:hAnsi="Libre Frankli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6"/>
          <w:szCs w:val="26"/>
          <w:highlight w:val="white"/>
          <w:rtl w:val="0"/>
        </w:rPr>
        <w:t xml:space="preserve">Lux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sz w:val="26"/>
          <w:szCs w:val="26"/>
          <w:highlight w:val="white"/>
          <w:rtl w:val="0"/>
        </w:rPr>
        <w:t xml:space="preserve">ury Home Prices Rise Amid Uptick in High-End Homebuying and Selling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Libre Franklin" w:cs="Libre Franklin" w:eastAsia="Libre Franklin" w:hAnsi="Libre Franklin"/>
          <w:i w:val="1"/>
          <w:iCs w:val="1"/>
          <w:highlight w:val="white"/>
        </w:rPr>
      </w:pPr>
      <w:r w:rsidDel="00000000" w:rsidR="00000000" w:rsidRPr="00000000">
        <w:rPr>
          <w:rFonts w:ascii="Libre Franklin" w:cs="Libre Franklin" w:eastAsia="Libre Franklin" w:hAnsi="Libre Franklin"/>
          <w:i w:val="1"/>
          <w:iCs w:val="1"/>
          <w:highlight w:val="white"/>
          <w:rtl w:val="0"/>
        </w:rPr>
        <w:t xml:space="preserve">The median luxury sale price is up 4% year over year—more than double the gain in non luxury prices.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Libre Franklin" w:cs="Libre Franklin" w:eastAsia="Libre Franklin" w:hAnsi="Libre Franklin"/>
          <w:i w:val="1"/>
          <w:iCs w:val="1"/>
          <w:highlight w:val="white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i w:val="1"/>
          <w:iCs w:val="1"/>
          <w:highlight w:val="white"/>
          <w:rtl w:val="0"/>
        </w:rPr>
        <w:t xml:space="preserve">Luxury pending home sales are also up 4%—the biggest increase in over a year. San Francisco’s luxury market is booming, with sales up nearly 50%—the most in the nation.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Libre Franklin" w:cs="Libre Franklin" w:eastAsia="Libre Franklin" w:hAnsi="Libre Franklin"/>
          <w:i w:val="1"/>
          <w:iCs w:val="1"/>
          <w:highlight w:val="white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i w:val="1"/>
          <w:iCs w:val="1"/>
          <w:highlight w:val="white"/>
          <w:rtl w:val="0"/>
        </w:rPr>
        <w:t xml:space="preserve">Rising demand and prices are buoying luxury new listings, which are rising more than twice as fast as non luxury listings.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ibre Franklin" w:cs="Libre Franklin" w:eastAsia="Libre Franklin" w:hAnsi="Libre Frankli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The median U.S. luxury home sale price rose 3.6% year over year to $1.39 million during the three months ending April 30—more than double the 1.4% gain in non luxury sale prices. </w:t>
      </w:r>
    </w:p>
    <w:p w:rsidR="00000000" w:rsidDel="00000000" w:rsidP="00000000" w:rsidRDefault="00000000" w:rsidRPr="00000000" w14:paraId="00000021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</w:rPr>
        <w:drawing>
          <wp:inline distB="114300" distT="114300" distL="114300" distR="114300">
            <wp:extent cx="5943600" cy="4470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Luxury prices are on the rise as demand for luxury homes increases. Pending sales of luxury homes jumped 4.3% year over year—the largest gain since January 2025. That’s sli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ghtly larger than the 4% gai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n in non luxury pending sales, which was the biggest since December 2024. Homebuyer demand has generally been climbing thanks to an </w:t>
      </w:r>
      <w:hyperlink r:id="rId9">
        <w:r w:rsidDel="00000000" w:rsidR="00000000" w:rsidRPr="00000000">
          <w:rPr>
            <w:rFonts w:ascii="Libre Franklin" w:cs="Libre Franklin" w:eastAsia="Libre Franklin" w:hAnsi="Libre Franklin"/>
            <w:color w:val="1155cc"/>
            <w:u w:val="single"/>
            <w:rtl w:val="0"/>
          </w:rPr>
          <w:t xml:space="preserve">improving</w:t>
        </w:r>
      </w:hyperlink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job market and a </w:t>
      </w:r>
      <w:hyperlink r:id="rId10">
        <w:r w:rsidDel="00000000" w:rsidR="00000000" w:rsidRPr="00000000">
          <w:rPr>
            <w:rFonts w:ascii="Libre Franklin" w:cs="Libre Franklin" w:eastAsia="Libre Franklin" w:hAnsi="Libre Franklin"/>
            <w:color w:val="1155cc"/>
            <w:u w:val="single"/>
            <w:rtl w:val="0"/>
          </w:rPr>
          <w:t xml:space="preserve">decline</w:t>
        </w:r>
      </w:hyperlink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in mortgage rates last month, though rates have been more </w:t>
      </w:r>
      <w:hyperlink r:id="rId11">
        <w:r w:rsidDel="00000000" w:rsidR="00000000" w:rsidRPr="00000000">
          <w:rPr>
            <w:rFonts w:ascii="Libre Franklin" w:cs="Libre Franklin" w:eastAsia="Libre Franklin" w:hAnsi="Libre Franklin"/>
            <w:color w:val="1155cc"/>
            <w:u w:val="single"/>
            <w:rtl w:val="0"/>
          </w:rPr>
          <w:t xml:space="preserve">volatile</w:t>
        </w:r>
      </w:hyperlink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in May. </w:t>
      </w:r>
    </w:p>
    <w:p w:rsidR="00000000" w:rsidDel="00000000" w:rsidP="00000000" w:rsidRDefault="00000000" w:rsidRPr="00000000" w14:paraId="00000023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</w:rPr>
        <w:drawing>
          <wp:inline distB="114300" distT="114300" distL="114300" distR="114300">
            <wp:extent cx="5943600" cy="4457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ibre Franklin" w:cs="Libre Franklin" w:eastAsia="Libre Franklin" w:hAnsi="Libre Franklin"/>
        </w:rPr>
      </w:pPr>
      <w:hyperlink r:id="rId13">
        <w:r w:rsidDel="00000000" w:rsidR="00000000" w:rsidRPr="00000000">
          <w:rPr>
            <w:rFonts w:ascii="Libre Franklin" w:cs="Libre Franklin" w:eastAsia="Libre Franklin" w:hAnsi="Libre Franklin"/>
            <w:color w:val="1155cc"/>
            <w:u w:val="single"/>
            <w:rtl w:val="0"/>
          </w:rPr>
          <w:t xml:space="preserve">Stacey Bryant</w:t>
        </w:r>
      </w:hyperlink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, a </w:t>
      </w:r>
      <w:hyperlink r:id="rId14">
        <w:r w:rsidDel="00000000" w:rsidR="00000000" w:rsidRPr="00000000">
          <w:rPr>
            <w:rFonts w:ascii="Libre Franklin" w:cs="Libre Franklin" w:eastAsia="Libre Franklin" w:hAnsi="Libre Franklin"/>
            <w:color w:val="1155cc"/>
            <w:u w:val="single"/>
            <w:rtl w:val="0"/>
          </w:rPr>
          <w:t xml:space="preserve">Redfin Premier</w:t>
        </w:r>
      </w:hyperlink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real estate agent in </w:t>
      </w:r>
      <w:hyperlink r:id="rId15">
        <w:r w:rsidDel="00000000" w:rsidR="00000000" w:rsidRPr="00000000">
          <w:rPr>
            <w:rFonts w:ascii="Libre Franklin" w:cs="Libre Franklin" w:eastAsia="Libre Franklin" w:hAnsi="Libre Franklin"/>
            <w:color w:val="1155cc"/>
            <w:u w:val="single"/>
            <w:rtl w:val="0"/>
          </w:rPr>
          <w:t xml:space="preserve">Boston</w:t>
        </w:r>
      </w:hyperlink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, noted that luxury buyers are typically less sensitive to mortgage-rate swings than non luxury buyers, which may be one reason the luxury market is holding up relatively well.</w:t>
      </w:r>
    </w:p>
    <w:p w:rsidR="00000000" w:rsidDel="00000000" w:rsidP="00000000" w:rsidRDefault="00000000" w:rsidRPr="00000000" w14:paraId="00000025">
      <w:pPr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“When I have a buyer looking at a home above $1 million, interest rates and </w:t>
      </w: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geopolitical uncertainty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don’t matter as much,”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Bryant said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. “They want to buy a home and have the means to do it, so a 6.3% mortgage rate versus a 6.1% mortgage rate doesn’t really make a difference.”</w:t>
      </w:r>
    </w:p>
    <w:p w:rsidR="00000000" w:rsidDel="00000000" w:rsidP="00000000" w:rsidRDefault="00000000" w:rsidRPr="00000000" w14:paraId="00000027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No metro Redfin analyzed saw a larger gain in luxury pending sales than San Francisco, which posted a 48.4% year-over-year increase in April—the largest since June 2021. San Francisco’s housing market </w:t>
      </w:r>
      <w:hyperlink r:id="rId16">
        <w:r w:rsidDel="00000000" w:rsidR="00000000" w:rsidRPr="00000000">
          <w:rPr>
            <w:rFonts w:ascii="Libre Franklin" w:cs="Libre Franklin" w:eastAsia="Libre Franklin" w:hAnsi="Libre Franklin"/>
            <w:color w:val="1155cc"/>
            <w:u w:val="single"/>
            <w:rtl w:val="0"/>
          </w:rPr>
          <w:t xml:space="preserve">has been</w:t>
        </w:r>
      </w:hyperlink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on the upswing thanks to the </w:t>
      </w:r>
      <w:hyperlink r:id="rId17">
        <w:r w:rsidDel="00000000" w:rsidR="00000000" w:rsidRPr="00000000">
          <w:rPr>
            <w:rFonts w:ascii="Libre Franklin" w:cs="Libre Franklin" w:eastAsia="Libre Franklin" w:hAnsi="Libre Franklin"/>
            <w:color w:val="1155cc"/>
            <w:u w:val="single"/>
            <w:rtl w:val="0"/>
          </w:rPr>
          <w:t xml:space="preserve">AI boom</w:t>
        </w:r>
      </w:hyperlink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, which has landed many workers with hefty paychecks and bonuses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The uptick in luxury home prices and demand in many parts of the country is likely incentivizing more high-end homeowners to put their houses up for sale. New listings of U.S. luxury homes climbed 2% year over year during the three months ending April 30, compared with a 0.6% gain in non luxury new listings. San Francisco saw the second largest gain in new listings.</w:t>
      </w:r>
    </w:p>
    <w:p w:rsidR="00000000" w:rsidDel="00000000" w:rsidP="00000000" w:rsidRDefault="00000000" w:rsidRPr="00000000" w14:paraId="0000002B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</w:rPr>
        <w:drawing>
          <wp:inline distB="114300" distT="114300" distL="114300" distR="114300">
            <wp:extent cx="5943600" cy="44577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highlight w:val="white"/>
          <w:rtl w:val="0"/>
        </w:rPr>
        <w:t xml:space="preserve">This report is based on a Redfin analysis of MLS data that is subject to revision. All figures cover rolling three-month periods. Redfin defines luxury homes as those estimated to be in the top 5% of their metro area’s price range, while non-luxury homes fall into the 35th–65th percentile.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Luxury Market Summary: Three Months Ending April 30, 202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6</w:t>
      </w:r>
    </w:p>
    <w:tbl>
      <w:tblPr>
        <w:tblStyle w:val="Table2"/>
        <w:tblW w:w="94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555"/>
        <w:gridCol w:w="3180"/>
        <w:gridCol w:w="2670"/>
        <w:tblGridChange w:id="0">
          <w:tblGrid>
            <w:gridCol w:w="3555"/>
            <w:gridCol w:w="3180"/>
            <w:gridCol w:w="2670"/>
          </w:tblGrid>
        </w:tblGridChange>
      </w:tblGrid>
      <w:tr>
        <w:trPr>
          <w:cantSplit w:val="0"/>
          <w:trHeight w:val="808.272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Luxury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Non Luxury</w:t>
            </w:r>
          </w:p>
        </w:tc>
      </w:tr>
      <w:tr>
        <w:trPr>
          <w:cantSplit w:val="0"/>
          <w:trHeight w:val="41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Median sale price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$1,388,230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$377,734</w:t>
            </w:r>
          </w:p>
        </w:tc>
      </w:tr>
      <w:tr>
        <w:trPr>
          <w:cantSplit w:val="0"/>
          <w:trHeight w:val="41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Median sale price, YoY change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3.6</w:t>
            </w: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.4%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Pending home sales, YoY change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4.3%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4.0%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Homes sold, YoY change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0.8</w:t>
            </w: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1.6</w:t>
            </w: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New listings, YoY change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2.0</w:t>
            </w: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0.6</w:t>
            </w: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Active listings, YoY change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1.4</w:t>
            </w: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2.3</w:t>
            </w: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.636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Median days on market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51</w:t>
            </w:r>
          </w:p>
        </w:tc>
      </w:tr>
      <w:tr>
        <w:trPr>
          <w:cantSplit w:val="0"/>
          <w:trHeight w:val="381.636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Libre Franklin" w:cs="Libre Franklin" w:eastAsia="Libre Franklin" w:hAnsi="Libre Frankli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highlight w:val="white"/>
                <w:rtl w:val="0"/>
              </w:rPr>
              <w:t xml:space="preserve">Median days on market, YoY change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Libre Franklin" w:cs="Libre Franklin" w:eastAsia="Libre Franklin" w:hAnsi="Libre Franklin"/>
                <w:highlight w:val="white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highlight w:val="whit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spacing w:after="80" w:lineRule="auto"/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spacing w:after="80" w:lineRule="auto"/>
        <w:rPr>
          <w:rFonts w:ascii="Libre Franklin" w:cs="Libre Franklin" w:eastAsia="Libre Franklin" w:hAnsi="Libre Franklin"/>
          <w:b w:val="1"/>
          <w:bCs w:val="1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Metro-Level Luxury Highlights: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Three Months Ending April 30, 202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Redfin’s metro-level luxury data is based on an analysis of the 50 most populous U.S. metropolitan areas. All changes below are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year over year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Prices: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Luxury prices rose most in Tampa, FL (17.1%), Las Vegas (16.1%) and Kansas City, MO (15.2%). They fell in just four metros: Detroit (-2.4%), Cincinnati (-1.6%), New York (-0.6%) and Denver (-0.6%).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Pending sales: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Luxury pending sales rose most in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San Francisco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(48.4%), Tampa (35.8%) and West Palm Beach, FL (15.8%). They fell most in Nassau County, NY (-27%), Minneapolis (-15.9%) and Seattle (-14.4%).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Closed home sales: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Luxury home sales rose most in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San Francisco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(43.2%), Tampa (42%) and Kansas City, MO (24.8%). They fell most in Cincinnati (-22.8%), Seattle (-20.8%) and Anaheim, CA (-19.9%).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New listings: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Luxury new listings rose most in Warren, MI (26.6%), 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San Francisco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(17.7%) and St. Louis (15.2%). They fell most in Miami (-16.7%), New York (-13.7%) and Orlando, FL (-13.7%).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Active listings: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Luxury active listings rose most in Detroit (22.8%), Seattle (16.1%) and Atlanta (15.4%). They fell most in Anaheim (-24.2%), New York (-18.3%) and Miami (-15.5%).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Median days on market:</w:t>
      </w:r>
      <w:r w:rsidDel="00000000" w:rsidR="00000000" w:rsidRPr="00000000">
        <w:rPr>
          <w:rFonts w:ascii="Libre Franklin" w:cs="Libre Franklin" w:eastAsia="Libre Franklin" w:hAnsi="Libre Franklin"/>
          <w:rtl w:val="0"/>
        </w:rPr>
        <w:t xml:space="preserve"> In Pittsburgh, the typical luxury home that went under contract did so in 64 days, down 17 days from a year earlier—the biggest decrease among the metros Redfin analyzed. Next came Austin, TX (-16) and Tampa (-14). The biggest increases were in New York (33), Las Vegas (31) and Philadelphia (18).</w:t>
      </w:r>
    </w:p>
    <w:p w:rsidR="00000000" w:rsidDel="00000000" w:rsidP="00000000" w:rsidRDefault="00000000" w:rsidRPr="00000000" w14:paraId="00000054">
      <w:pPr>
        <w:rPr>
          <w:rFonts w:ascii="Libre Franklin" w:cs="Libre Franklin" w:eastAsia="Libre Franklin" w:hAnsi="Libre Franklin"/>
          <w:i w:val="1"/>
          <w:iCs w:val="1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highlight w:val="white"/>
          <w:rtl w:val="0"/>
        </w:rPr>
        <w:t xml:space="preserve">Full Metro-Level Luxury Data: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Three Months Ending April 30, 202</w:t>
      </w:r>
      <w:r w:rsidDel="00000000" w:rsidR="00000000" w:rsidRPr="00000000">
        <w:rPr>
          <w:rFonts w:ascii="Libre Franklin" w:cs="Libre Franklin" w:eastAsia="Libre Franklin" w:hAnsi="Libre Franklin"/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3"/>
        <w:tblW w:w="11610.0" w:type="dxa"/>
        <w:jc w:val="left"/>
        <w:tblInd w:w="-1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10"/>
        <w:gridCol w:w="1485"/>
        <w:gridCol w:w="1275"/>
        <w:gridCol w:w="1110"/>
        <w:gridCol w:w="945"/>
        <w:gridCol w:w="930"/>
        <w:gridCol w:w="1080"/>
        <w:gridCol w:w="1080"/>
        <w:gridCol w:w="1395"/>
        <w:tblGridChange w:id="0">
          <w:tblGrid>
            <w:gridCol w:w="2310"/>
            <w:gridCol w:w="1485"/>
            <w:gridCol w:w="1275"/>
            <w:gridCol w:w="1110"/>
            <w:gridCol w:w="945"/>
            <w:gridCol w:w="930"/>
            <w:gridCol w:w="1080"/>
            <w:gridCol w:w="1080"/>
            <w:gridCol w:w="1395"/>
          </w:tblGrid>
        </w:tblGridChange>
      </w:tblGrid>
      <w:tr>
        <w:trPr>
          <w:cantSplit w:val="0"/>
          <w:trHeight w:val="1166.279999999999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U.S. metro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Median sale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Median sale price, YoY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Pending sales, YoY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Homes sold, YoY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New listings, YoY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Active listings, YoY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Median days on market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Median days on market,YoY change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Anaheim, CA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$5,375,518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-13.4%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-19.9%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-13.5%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-24.2%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Atlanta, GA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$1,430,613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11.2%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15.4%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Austin, TX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$1,829,754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-3.0%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-5.9%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-7.5%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Baltimore, MD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$1,294,453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-13.2%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-6.6%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-7.7%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-6.2%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Boston, MA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$2,861,709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-8.6%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Charlotte, NC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$1,618,146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-3.9%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Chicago, IL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$1,540,770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11.4%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-8.8%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-14.4%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-12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Cincinnati, OH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$929,965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-22.8%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Cleveland, OH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$832,252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13.4%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-0.3%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Columbus, OH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$1,006,712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-6.1%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7.2%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Dallas, TX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$1,601,151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Denver, CO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$1,907,321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-0.6%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-3.3%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Detroit, MI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$719,937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13.8%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22.8%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Fort Worth, TX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$1,286,738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13.6%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-5.7%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Houston, TX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$1,335,547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-5.6%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Indianapolis, IN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$1,005,871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-3.3%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-3.5%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-3.3%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-5.6%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Jacksonville, FL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$1,576,271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Kansas City, MO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$1,145,851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15.2%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24.8%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14.8%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Las Vegas, NV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$1,734,559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16.1%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-5.0%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-14.3%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-13.2%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Los Angeles, CA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$4,466,395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7.7%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-8.2%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-14.1%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-12.7%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Miami, FL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$4,957,799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12.8%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15.1%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11.8%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-16.7%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-15.5%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Milwaukee, WI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$1,127,948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7.4%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-7.3%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Minneapolis, MN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$1,282,452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-15.9%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-19.8%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-0.8%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Montgomery County, PA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$1,560,728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-5.2%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Nashville, TN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$2,241,809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Nassau County, NY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$2,789,005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-27.0%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-9.8%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-9.0%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-5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New Brunswick, NJ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$2,048,293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-14.2%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New York, NY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$4,253,303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-0.6%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-11.7%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-13.7%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-18.3%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33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Newark, NJ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$2,060,354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-3.6%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-18.8%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-3.7%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-9.3%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Oakland, CA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$3,065,363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-11.8%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Orlando, FL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$1,455,361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-14.3%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-13.7%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Philadelphia, PA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$1,385,825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13.5%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Phoenix, AZ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$2,190,814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-3.6%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Pittsburgh, PA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$880,011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Portland, OR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$1,448,648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16.5%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Providence, RI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$1,726,389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-6.7%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-9.4%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Riverside, CA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$1,703,954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-6.6%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-9.0%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-12.8%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-12.3%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Sacramento, CA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$1,691,923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14.1%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San Antonio, TX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$987,731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-17.0%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San Diego, CA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$3,771,836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11.3%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-6.6%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San Francisco, CA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$6,738,794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48.4%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43.2%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17.7%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San Jose, CA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$5,650,933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-9.7%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Seattle, WA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$2,953,926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0.3%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-14.4%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-20.8%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11.8%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16.1%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St. Louis, MO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$1,031,637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13.0%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6.1%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15.2%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13.0%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Tampa, FL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$1,670,163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17.1%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35.8%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42.0%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-14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Virginia Beach, VA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$1,120,585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9.1%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-10.0%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13.2%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-4.0%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Warren, MI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$1,073,544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8.4%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5.9%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-9.2%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26.6%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12.5%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-1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Washington, DC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$2,039,624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2.2%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-2.3%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5.0%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West Palm Beach, FL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$4,502,311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4.7%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15.8%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-5.7%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-5.4%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240" w:before="240" w:lineRule="auto"/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before="240" w:lineRule="auto"/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United States of America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before="240" w:lineRule="auto"/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$1,388,230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240" w:before="240" w:lineRule="auto"/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3.6%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240" w:before="240" w:lineRule="auto"/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4.3%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240" w:before="240" w:lineRule="auto"/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0.8%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before="240" w:lineRule="auto"/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2.0%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240" w:before="240" w:lineRule="auto"/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1.4%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240" w:before="240" w:lineRule="auto"/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240" w:before="240" w:lineRule="auto"/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edfin.com/news/weekly-economic-update-may-11-2026/" TargetMode="External"/><Relationship Id="rId10" Type="http://schemas.openxmlformats.org/officeDocument/2006/relationships/hyperlink" Target="https://www.freddiemac.com/pmms?gad_source=1&amp;gad_campaignid=23396332682&amp;gbraid=0AAAAA-zPkSrwPN2EMCiZ1pYekY2Aig6oR&amp;gclid=CjwKCAjwt7XQBhBkEiwAtStpp5E3ORPvi_jY74g4EYjMcKHanNdHWLUesy-QXURPA3eOQ9VstX_nYRoCdgYQAvD_BwE" TargetMode="External"/><Relationship Id="rId13" Type="http://schemas.openxmlformats.org/officeDocument/2006/relationships/hyperlink" Target="https://www.redfin.com/real-estate-agents/stacey-bryant?gclsrc=aw.ds&amp;&amp;utm_source=google&amp;utm_medium=ppc&amp;utm_campaign=1040994&amp;utm_term=kwd-11025941&amp;utm_content=801714810463&amp;adgid=193327515054&amp;gad_source=1&amp;gad_campaignid=23688685861&amp;gbraid=0AAAAADirq3vIC22ChhAZOw6K1BHuiFBeE&amp;gclid=Cj0KCQjwiJvQBhCYARIsAMjts3Ka0WjZNJIIqBZ4jsTIhlu0BHmrRo1N9hTIpsT3MbRBoYww9BMNXoAaAqjCEALw_wcB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edfin.com/news/april-2026-jobs-report/" TargetMode="External"/><Relationship Id="rId15" Type="http://schemas.openxmlformats.org/officeDocument/2006/relationships/hyperlink" Target="https://www.redfin.com/city/1826/MA/Boston" TargetMode="External"/><Relationship Id="rId14" Type="http://schemas.openxmlformats.org/officeDocument/2006/relationships/hyperlink" Target="https://www.redfin.com/premier" TargetMode="External"/><Relationship Id="rId17" Type="http://schemas.openxmlformats.org/officeDocument/2006/relationships/hyperlink" Target="https://www.redfin.com/news/san-francisco-home-prices-march-2026/" TargetMode="External"/><Relationship Id="rId16" Type="http://schemas.openxmlformats.org/officeDocument/2006/relationships/hyperlink" Target="https://www.redfin.com/news/luxury-home-sales-san-francisco-2026/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s://docs.google.com/spreadsheets/d/1qLpR_jc9mzK2Vqe0m5zakGuU0OBFlo90ZDsJtzrWx54/edit?gid=2062152078#gid=2062152078" TargetMode="External"/><Relationship Id="rId18" Type="http://schemas.openxmlformats.org/officeDocument/2006/relationships/image" Target="media/image3.png"/><Relationship Id="rId7" Type="http://schemas.openxmlformats.org/officeDocument/2006/relationships/hyperlink" Target="https://us-west-2b.online.tableau.com/#/site/redfinrent/workbooks/2224674/views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