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JUNE 17, 2026 5:00 A.M. PACIFIC TIME</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Former Red-Hot Seller’s Markets, Like Atlanta, Now Lead the Nation in Canceled Home Sales</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Redfin reports 4 of the 10 metros where contract cancellations were most common in May were in Texas, and three were in Florida; all are strong buyer’s markets</w:t>
      </w: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4"/>
          <w:szCs w:val="24"/>
          <w:rtl w:val="0"/>
        </w:rPr>
        <w:t xml:space="preserve">Nationwide, 13.6% of the homebuying deals made in May fell through. That share has held steady over the last 4 months as buyers and sellers grow accustomed to today’s market. </w:t>
      </w:r>
      <w:r w:rsidDel="00000000" w:rsidR="00000000" w:rsidRPr="00000000">
        <w:rPr>
          <w:rtl w:val="0"/>
        </w:rPr>
      </w:r>
    </w:p>
    <w:p w:rsidR="00000000" w:rsidDel="00000000" w:rsidP="00000000" w:rsidRDefault="00000000" w:rsidRPr="00000000" w14:paraId="00000007">
      <w:pPr>
        <w:spacing w:line="240" w:lineRule="auto"/>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w:t>
      </w:r>
      <w:r w:rsidDel="00000000" w:rsidR="00000000" w:rsidRPr="00000000">
        <w:rPr>
          <w:rFonts w:ascii="Times New Roman" w:cs="Times New Roman" w:eastAsia="Times New Roman" w:hAnsi="Times New Roman"/>
          <w:sz w:val="24"/>
          <w:szCs w:val="24"/>
          <w:rtl w:val="0"/>
        </w:rPr>
        <w:t xml:space="preserve"> — June 17, 2026 — </w:t>
      </w:r>
      <w:r w:rsidDel="00000000" w:rsidR="00000000" w:rsidRPr="00000000">
        <w:rPr>
          <w:rFonts w:ascii="Times New Roman" w:cs="Times New Roman" w:eastAsia="Times New Roman" w:hAnsi="Times New Roman"/>
          <w:sz w:val="24"/>
          <w:szCs w:val="24"/>
          <w:rtl w:val="0"/>
        </w:rPr>
        <w:t xml:space="preserve">Cancellations of contracts to buy homes are most common in Atlanta, Fort Worth, TX and Jacksonville, FL. In each of those places, roughly 18% of all home-sale agreements that went under contract in May fell through, </w:t>
      </w:r>
      <w:r w:rsidDel="00000000" w:rsidR="00000000" w:rsidRPr="00000000">
        <w:rPr>
          <w:rFonts w:ascii="Times New Roman" w:cs="Times New Roman" w:eastAsia="Times New Roman" w:hAnsi="Times New Roman"/>
          <w:sz w:val="24"/>
          <w:szCs w:val="24"/>
          <w:rtl w:val="0"/>
        </w:rPr>
        <w:t xml:space="preserve">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from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Nationwide, the portion of buyers backing out of contracts is smaller: 13.6% of May’s home-sale agreements fell through. That’s unchanged from a month earlier on a seasonally adjusted basis, and it’s the fourth month in a row that contract cancellations have held steady at the same rate.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share of U.S. homebuying deals that have fallen through has been fairly stable for the last two years, swinging between 13.4% and 14%.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fact that contract cancellations have steadied nationwide suggests that while affordability challenges continue to sideline some buyers, others have adjusted to higher mortgage rates. The </w:t>
      </w:r>
      <w:r w:rsidDel="00000000" w:rsidR="00000000" w:rsidRPr="00000000">
        <w:rPr>
          <w:rFonts w:ascii="Times New Roman" w:cs="Times New Roman" w:eastAsia="Times New Roman" w:hAnsi="Times New Roman"/>
          <w:sz w:val="24"/>
          <w:szCs w:val="24"/>
          <w:highlight w:val="white"/>
          <w:rtl w:val="0"/>
        </w:rPr>
        <w:t xml:space="preserve">weekly average</w:t>
      </w:r>
      <w:r w:rsidDel="00000000" w:rsidR="00000000" w:rsidRPr="00000000">
        <w:rPr>
          <w:rFonts w:ascii="Times New Roman" w:cs="Times New Roman" w:eastAsia="Times New Roman" w:hAnsi="Times New Roman"/>
          <w:sz w:val="24"/>
          <w:szCs w:val="24"/>
          <w:highlight w:val="white"/>
          <w:rtl w:val="0"/>
        </w:rPr>
        <w:t xml:space="preserve"> rate has been over 6% for nearly four years, since late 2022.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Cancellations have inched down from their 2023 peak as buyers and sellers enter transactions with more realistic expectations. More sellers have come to terms with the fact that it’s a buyer’s market in most of the country. Many of them are pricing lower from the start, some are willing to lower their asking price to attract buyers, and some are willing to negotiate to keep deals together. And buyers have generally become more accustomed to high housing payments. </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Still, deals are falling apart at a higher rate than they were in 2020-2022, when the U.S. was in a red-hot seller’s market. That’s because there are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hundreds of thousands more home sellers</w:t>
        </w:r>
      </w:hyperlink>
      <w:r w:rsidDel="00000000" w:rsidR="00000000" w:rsidRPr="00000000">
        <w:rPr>
          <w:rFonts w:ascii="Times New Roman" w:cs="Times New Roman" w:eastAsia="Times New Roman" w:hAnsi="Times New Roman"/>
          <w:sz w:val="24"/>
          <w:szCs w:val="24"/>
          <w:highlight w:val="white"/>
          <w:rtl w:val="0"/>
        </w:rPr>
        <w:t xml:space="preserve"> than buyers, giving buyers the option to back out if they find a home they like better. House hunters are also sometimes changing their minds due to financial instability caused by geopolitical turmoil, like the Iran war, and economic uncertainty, like inflation risk and lack of job security. </w:t>
      </w:r>
    </w:p>
    <w:p w:rsidR="00000000" w:rsidDel="00000000" w:rsidP="00000000" w:rsidRDefault="00000000" w:rsidRPr="00000000" w14:paraId="00000013">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Atlanta and Other Sun Belt Metros Lead the Nation in Canceled Deals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Deals are falling apart at a higher rate in certain parts of the country. They’re most prevalent in Atlanta and parts of Florida and Texas, as those places complete their one-eighty from pandemic homebuying hotspots to the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strongest buyer’s markets</w:t>
        </w:r>
      </w:hyperlink>
      <w:r w:rsidDel="00000000" w:rsidR="00000000" w:rsidRPr="00000000">
        <w:rPr>
          <w:rFonts w:ascii="Times New Roman" w:cs="Times New Roman" w:eastAsia="Times New Roman" w:hAnsi="Times New Roman"/>
          <w:sz w:val="24"/>
          <w:szCs w:val="24"/>
          <w:highlight w:val="white"/>
          <w:rtl w:val="0"/>
        </w:rPr>
        <w:t xml:space="preserve"> in the nation. </w:t>
      </w: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Atlanta, 18.8% of home-purchase agreements were canceled in May, the highest share among the 50 most populous U.S. metros with sufficient data. It’s followed by four other southern metros: Fort Worth, TX (18.1%), Jacksonville, FL (17.9%), San Antonio (17.8%) and Orlando, FL (17.7%).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All in all, Texas was home to four of the 10 places where contract cancellations were most common, and Florida was home to three.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“Sellers need to pay attention and price realistically, because the market is leaning toward buyers,” said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Connie Durnal</w:t>
        </w:r>
      </w:hyperlink>
      <w:r w:rsidDel="00000000" w:rsidR="00000000" w:rsidRPr="00000000">
        <w:rPr>
          <w:rFonts w:ascii="Times New Roman" w:cs="Times New Roman" w:eastAsia="Times New Roman" w:hAnsi="Times New Roman"/>
          <w:sz w:val="24"/>
          <w:szCs w:val="24"/>
          <w:highlight w:val="white"/>
          <w:rtl w:val="0"/>
        </w:rPr>
        <w:t xml:space="preserve">, a Redfin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Premier</w:t>
        </w:r>
      </w:hyperlink>
      <w:r w:rsidDel="00000000" w:rsidR="00000000" w:rsidRPr="00000000">
        <w:rPr>
          <w:rFonts w:ascii="Times New Roman" w:cs="Times New Roman" w:eastAsia="Times New Roman" w:hAnsi="Times New Roman"/>
          <w:sz w:val="24"/>
          <w:szCs w:val="24"/>
          <w:highlight w:val="white"/>
          <w:rtl w:val="0"/>
        </w:rPr>
        <w:t xml:space="preserve"> agent in Dallas. “I recently worked with smart sellers who knew how to get their home under contract and get the deal done: They had paid $400,000 for the home, but they listed at $390,000 because that’s where the market was. They were willing to consider offers under the list price and negotiate with buyers, too.”</w:t>
      </w:r>
    </w:p>
    <w:p w:rsidR="00000000" w:rsidDel="00000000" w:rsidP="00000000" w:rsidRDefault="00000000" w:rsidRPr="00000000" w14:paraId="0000001D">
      <w:pPr>
        <w:spacing w:line="240" w:lineRule="auto"/>
        <w:rPr>
          <w:rFonts w:ascii="Times New Roman" w:cs="Times New Roman" w:eastAsia="Times New Roman" w:hAnsi="Times New Roman"/>
          <w:sz w:val="24"/>
          <w:szCs w:val="24"/>
          <w:highlight w:val="white"/>
        </w:rPr>
      </w:pPr>
      <w:r w:rsidDel="00000000" w:rsidR="00000000" w:rsidRPr="00000000">
        <w:rPr>
          <w:rtl w:val="0"/>
        </w:rPr>
      </w:r>
    </w:p>
    <w:tbl>
      <w:tblPr>
        <w:tblStyle w:val="Table1"/>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2385"/>
        <w:gridCol w:w="2565"/>
        <w:gridCol w:w="2415"/>
        <w:tblGridChange w:id="0">
          <w:tblGrid>
            <w:gridCol w:w="1950"/>
            <w:gridCol w:w="2385"/>
            <w:gridCol w:w="2565"/>
            <w:gridCol w:w="2415"/>
          </w:tblGrid>
        </w:tblGridChange>
      </w:tblGrid>
      <w:tr>
        <w:trPr>
          <w:cantSplit w:val="0"/>
          <w:trHeight w:val="570" w:hRule="atLeast"/>
          <w:tblHeader w:val="0"/>
        </w:trPr>
        <w:tc>
          <w:tcPr>
            <w:gridSpan w:val="4"/>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Metro Areas Where Contracts Fell Apart at the Highest Rate, May 2026</w:t>
            </w:r>
          </w:p>
        </w:tc>
      </w:tr>
      <w:tr>
        <w:trPr>
          <w:cantSplit w:val="0"/>
          <w:trHeight w:val="171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 metro area</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line="24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Pending sales that fell out of contract, as % of overall pending sales</w:t>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4">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Month-over-month change in share of pending sales that fell out of contract (in percentage points)</w:t>
            </w:r>
          </w:p>
        </w:tc>
        <w:tc>
          <w:tcPr>
            <w:tcBorders>
              <w:top w:color="cccccc" w:space="0" w:sz="7" w:val="single"/>
              <w:left w:color="cccccc" w:space="0" w:sz="7" w:val="single"/>
              <w:bottom w:color="cccccc" w:space="0" w:sz="7" w:val="single"/>
              <w:right w:color="000000" w:space="0" w:sz="7" w:val="single"/>
            </w:tcBorders>
            <w:tcMar>
              <w:top w:w="40.0" w:type="dxa"/>
              <w:left w:w="0.0" w:type="dxa"/>
              <w:bottom w:w="40.0" w:type="dxa"/>
              <w:right w:w="0.0" w:type="dxa"/>
            </w:tcMar>
            <w:vAlign w:val="bottom"/>
          </w:tcPr>
          <w:p w:rsidR="00000000" w:rsidDel="00000000" w:rsidP="00000000" w:rsidRDefault="00000000" w:rsidRPr="00000000" w14:paraId="00000025">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Year-over-year change in share of pending sales that fell out of contract (in percentage points)</w:t>
            </w:r>
          </w:p>
        </w:tc>
      </w:tr>
      <w:tr>
        <w:trPr>
          <w:cantSplit w:val="0"/>
          <w:trHeight w:val="503.76"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Atlanta, GA</w:t>
              </w:r>
            </w:hyperlink>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8">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 pts.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pts.</w:t>
            </w:r>
          </w:p>
        </w:tc>
      </w:tr>
      <w:tr>
        <w:trPr>
          <w:cantSplit w:val="0"/>
          <w:trHeight w:val="503.76"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Fort Worth, TX</w:t>
              </w:r>
            </w:hyperlink>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C">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pts.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pts.</w:t>
            </w:r>
          </w:p>
        </w:tc>
      </w:tr>
      <w:tr>
        <w:trPr>
          <w:cantSplit w:val="0"/>
          <w:trHeight w:val="54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Jacksonville, FL</w:t>
              </w:r>
            </w:hyperlink>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0">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pts.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 pts.</w:t>
            </w:r>
          </w:p>
        </w:tc>
      </w:tr>
      <w:tr>
        <w:trPr>
          <w:cantSplit w:val="0"/>
          <w:trHeight w:val="54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San Antonio, TX</w:t>
              </w:r>
            </w:hyperlink>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4">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 pts.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 pts.</w:t>
            </w:r>
          </w:p>
        </w:tc>
      </w:tr>
      <w:tr>
        <w:trPr>
          <w:cantSplit w:val="0"/>
          <w:trHeight w:val="57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Orlando, FL</w:t>
              </w:r>
            </w:hyperlink>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8">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pts.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pts.</w:t>
            </w:r>
          </w:p>
        </w:tc>
      </w:tr>
      <w:tr>
        <w:trPr>
          <w:cantSplit w:val="0"/>
          <w:trHeight w:val="578.76"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Phoenix, AZ</w:t>
              </w:r>
            </w:hyperlink>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C">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 pts.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 pts.</w:t>
            </w:r>
          </w:p>
        </w:tc>
      </w:tr>
      <w:tr>
        <w:trPr>
          <w:cantSplit w:val="0"/>
          <w:trHeight w:val="563.76"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Tampa, FL</w:t>
              </w:r>
            </w:hyperlink>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0">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pts.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pts.</w:t>
            </w:r>
          </w:p>
        </w:tc>
      </w:tr>
      <w:tr>
        <w:trPr>
          <w:cantSplit w:val="0"/>
          <w:trHeight w:val="578.76"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Dallas, TX</w:t>
              </w:r>
            </w:hyperlink>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4">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 pts.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 pts.</w:t>
            </w:r>
          </w:p>
        </w:tc>
      </w:tr>
      <w:tr>
        <w:trPr>
          <w:cantSplit w:val="0"/>
          <w:trHeight w:val="593.76"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Detroit, MI</w:t>
              </w:r>
            </w:hyperlink>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8">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pts.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pts.</w:t>
            </w:r>
          </w:p>
        </w:tc>
      </w:tr>
      <w:tr>
        <w:trPr>
          <w:cantSplit w:val="0"/>
          <w:trHeight w:val="548.76"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Houston, TX</w:t>
              </w:r>
            </w:hyperlink>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C">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pts.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pts.</w:t>
            </w:r>
          </w:p>
        </w:tc>
      </w:tr>
    </w:tbl>
    <w:p w:rsidR="00000000" w:rsidDel="00000000" w:rsidP="00000000" w:rsidRDefault="00000000" w:rsidRPr="00000000" w14:paraId="0000004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Atlanta, there are </w:t>
      </w:r>
      <w:hyperlink r:id="rId22">
        <w:r w:rsidDel="00000000" w:rsidR="00000000" w:rsidRPr="00000000">
          <w:rPr>
            <w:rFonts w:ascii="Times New Roman" w:cs="Times New Roman" w:eastAsia="Times New Roman" w:hAnsi="Times New Roman"/>
            <w:color w:val="1155cc"/>
            <w:sz w:val="24"/>
            <w:szCs w:val="24"/>
            <w:highlight w:val="white"/>
            <w:u w:val="single"/>
            <w:rtl w:val="0"/>
          </w:rPr>
          <w:t xml:space="preserve">70% more home sellers than buyers</w:t>
        </w:r>
      </w:hyperlink>
      <w:r w:rsidDel="00000000" w:rsidR="00000000" w:rsidRPr="00000000">
        <w:rPr>
          <w:rFonts w:ascii="Times New Roman" w:cs="Times New Roman" w:eastAsia="Times New Roman" w:hAnsi="Times New Roman"/>
          <w:sz w:val="24"/>
          <w:szCs w:val="24"/>
          <w:highlight w:val="white"/>
          <w:rtl w:val="0"/>
        </w:rPr>
        <w:t xml:space="preserve">, giving buyers the upper hand and the mindset that if they back out of one deal, they’re sure to find another. In Fort Worth, there are 61% more home sellers than buyers, and in Jacksonville, the seller surplus is 74%. In both San Antonio and Houston, there are more than </w:t>
      </w:r>
      <w:r w:rsidDel="00000000" w:rsidR="00000000" w:rsidRPr="00000000">
        <w:rPr>
          <w:rFonts w:ascii="Times New Roman" w:cs="Times New Roman" w:eastAsia="Times New Roman" w:hAnsi="Times New Roman"/>
          <w:i w:val="1"/>
          <w:iCs w:val="1"/>
          <w:sz w:val="24"/>
          <w:szCs w:val="24"/>
          <w:highlight w:val="white"/>
          <w:rtl w:val="0"/>
        </w:rPr>
        <w:t xml:space="preserve">twice </w:t>
      </w:r>
      <w:r w:rsidDel="00000000" w:rsidR="00000000" w:rsidRPr="00000000">
        <w:rPr>
          <w:rFonts w:ascii="Times New Roman" w:cs="Times New Roman" w:eastAsia="Times New Roman" w:hAnsi="Times New Roman"/>
          <w:sz w:val="24"/>
          <w:szCs w:val="24"/>
          <w:highlight w:val="white"/>
          <w:rtl w:val="0"/>
        </w:rPr>
        <w:t xml:space="preserve">as many sellers as buyers. </w:t>
      </w:r>
    </w:p>
    <w:p w:rsidR="00000000" w:rsidDel="00000000" w:rsidP="00000000" w:rsidRDefault="00000000" w:rsidRPr="00000000" w14:paraId="0000005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Many of those southern metro areas soared in popularity during the pandemic, when low mortgage rates and remote work motivated many Americans to relocate to places with sunny weather and relative housing affordability. Construction of new homes skyrocketed to keep pace with demand, but now the demand is no longer there, due to elevated mortgage rates, higher home prices and the increasing frequency of natural disasters upping the cost of insurance and HOA fees. That has left a lot of the homes on the market, with fewer buyers. </w:t>
      </w:r>
    </w:p>
    <w:p w:rsidR="00000000" w:rsidDel="00000000" w:rsidP="00000000" w:rsidRDefault="00000000" w:rsidRPr="00000000" w14:paraId="0000005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Home Deals Least Likely to Fall Apart in San Francisco and Other Seller’s Markets</w:t>
      </w:r>
    </w:p>
    <w:p w:rsidR="00000000" w:rsidDel="00000000" w:rsidP="00000000" w:rsidRDefault="00000000" w:rsidRPr="00000000" w14:paraId="0000005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Contract cancellations are </w:t>
      </w:r>
      <w:r w:rsidDel="00000000" w:rsidR="00000000" w:rsidRPr="00000000">
        <w:rPr>
          <w:rFonts w:ascii="Times New Roman" w:cs="Times New Roman" w:eastAsia="Times New Roman" w:hAnsi="Times New Roman"/>
          <w:i w:val="1"/>
          <w:iCs w:val="1"/>
          <w:sz w:val="24"/>
          <w:szCs w:val="24"/>
          <w:highlight w:val="white"/>
          <w:rtl w:val="0"/>
        </w:rPr>
        <w:t xml:space="preserve">least </w:t>
      </w:r>
      <w:r w:rsidDel="00000000" w:rsidR="00000000" w:rsidRPr="00000000">
        <w:rPr>
          <w:rFonts w:ascii="Times New Roman" w:cs="Times New Roman" w:eastAsia="Times New Roman" w:hAnsi="Times New Roman"/>
          <w:sz w:val="24"/>
          <w:szCs w:val="24"/>
          <w:highlight w:val="white"/>
          <w:rtl w:val="0"/>
        </w:rPr>
        <w:t xml:space="preserve">common in San Francisco, where just 3.9% of deals fell through in May. San Francisco’s housing market is </w:t>
      </w:r>
      <w:hyperlink r:id="rId23">
        <w:r w:rsidDel="00000000" w:rsidR="00000000" w:rsidRPr="00000000">
          <w:rPr>
            <w:rFonts w:ascii="Times New Roman" w:cs="Times New Roman" w:eastAsia="Times New Roman" w:hAnsi="Times New Roman"/>
            <w:color w:val="1155cc"/>
            <w:sz w:val="24"/>
            <w:szCs w:val="24"/>
            <w:highlight w:val="white"/>
            <w:u w:val="single"/>
            <w:rtl w:val="0"/>
          </w:rPr>
          <w:t xml:space="preserve">booming</w:t>
        </w:r>
      </w:hyperlink>
      <w:r w:rsidDel="00000000" w:rsidR="00000000" w:rsidRPr="00000000">
        <w:rPr>
          <w:rFonts w:ascii="Times New Roman" w:cs="Times New Roman" w:eastAsia="Times New Roman" w:hAnsi="Times New Roman"/>
          <w:sz w:val="24"/>
          <w:szCs w:val="24"/>
          <w:highlight w:val="white"/>
          <w:rtl w:val="0"/>
        </w:rPr>
        <w:t xml:space="preserve">, largely because of the AI boom. </w:t>
      </w:r>
    </w:p>
    <w:p w:rsidR="00000000" w:rsidDel="00000000" w:rsidP="00000000" w:rsidRDefault="00000000" w:rsidRPr="00000000" w14:paraId="0000005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Next are Nassau County, NY (3.9%), New York (6.7%), San Jose, CA (7.1%) and Montgomery County, PA (7.3%). San Francisco, Nassau County and Montgomery County are three of just </w:t>
      </w:r>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seven seller’s markets</w:t>
        </w:r>
      </w:hyperlink>
      <w:r w:rsidDel="00000000" w:rsidR="00000000" w:rsidRPr="00000000">
        <w:rPr>
          <w:rFonts w:ascii="Times New Roman" w:cs="Times New Roman" w:eastAsia="Times New Roman" w:hAnsi="Times New Roman"/>
          <w:sz w:val="24"/>
          <w:szCs w:val="24"/>
          <w:highlight w:val="white"/>
          <w:rtl w:val="0"/>
        </w:rPr>
        <w:t xml:space="preserve"> in the U.S. House hunters in those places are motivated to hold deals together because there are more buyers than homes available for sale. </w:t>
      </w:r>
    </w:p>
    <w:p w:rsidR="00000000" w:rsidDel="00000000" w:rsidP="00000000" w:rsidRDefault="00000000" w:rsidRPr="00000000" w14:paraId="0000005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Cancellations Are Rising Fastest on the West Coast</w:t>
      </w:r>
    </w:p>
    <w:p w:rsidR="00000000" w:rsidDel="00000000" w:rsidP="00000000" w:rsidRDefault="00000000" w:rsidRPr="00000000" w14:paraId="0000005A">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Contract cancellations increased month over month on a seasonally adjusted basis in most of the metros in this analysis. The biggest uptick was in Portland, OR, where 16.3% of home-purchase agreements were called off in May, up from 14.3% a month earlier. </w:t>
      </w:r>
    </w:p>
    <w:p w:rsidR="00000000" w:rsidDel="00000000" w:rsidP="00000000" w:rsidRDefault="00000000" w:rsidRPr="00000000" w14:paraId="0000005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Next comes Oakland, CA, where 10.2% of homebuying agreements were canceled, up from 8.2%. Houston (16.9%, up from 15%), Sacramento, CA (15.1%, up from 13.2%) and Pittsburgh (15.1%, up from 13.9%) round out the top five. </w:t>
      </w:r>
    </w:p>
    <w:p w:rsidR="00000000" w:rsidDel="00000000" w:rsidP="00000000" w:rsidRDefault="00000000" w:rsidRPr="00000000" w14:paraId="0000005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Contract cancellations </w:t>
      </w:r>
      <w:r w:rsidDel="00000000" w:rsidR="00000000" w:rsidRPr="00000000">
        <w:rPr>
          <w:rFonts w:ascii="Times New Roman" w:cs="Times New Roman" w:eastAsia="Times New Roman" w:hAnsi="Times New Roman"/>
          <w:i w:val="1"/>
          <w:iCs w:val="1"/>
          <w:sz w:val="24"/>
          <w:szCs w:val="24"/>
          <w:highlight w:val="white"/>
          <w:rtl w:val="0"/>
        </w:rPr>
        <w:t xml:space="preserve">decreased </w:t>
      </w:r>
      <w:r w:rsidDel="00000000" w:rsidR="00000000" w:rsidRPr="00000000">
        <w:rPr>
          <w:rFonts w:ascii="Times New Roman" w:cs="Times New Roman" w:eastAsia="Times New Roman" w:hAnsi="Times New Roman"/>
          <w:sz w:val="24"/>
          <w:szCs w:val="24"/>
          <w:highlight w:val="white"/>
          <w:rtl w:val="0"/>
        </w:rPr>
        <w:t xml:space="preserve">most in Columbus, OH, where 15.1% of deals were called off in May, down from 17.2% a month earlier. Next comes another Ohio metro, Cleveland (15.1%, down from 16.5%). Miami, West Palm Beach, FL and San Antonio follow.</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w:t>
      </w:r>
      <w:r w:rsidDel="00000000" w:rsidR="00000000" w:rsidRPr="00000000">
        <w:rPr>
          <w:rFonts w:ascii="Times New Roman" w:cs="Times New Roman" w:eastAsia="Times New Roman" w:hAnsi="Times New Roman"/>
          <w:sz w:val="24"/>
          <w:szCs w:val="24"/>
          <w:rtl w:val="0"/>
        </w:rPr>
        <w:t xml:space="preserve">including</w:t>
      </w:r>
      <w:r w:rsidDel="00000000" w:rsidR="00000000" w:rsidRPr="00000000">
        <w:rPr>
          <w:rFonts w:ascii="Times New Roman" w:cs="Times New Roman" w:eastAsia="Times New Roman" w:hAnsi="Times New Roman"/>
          <w:sz w:val="24"/>
          <w:szCs w:val="24"/>
          <w:rtl w:val="0"/>
        </w:rPr>
        <w:t xml:space="preserve"> charts and full metro-level data</w:t>
      </w:r>
      <w:r w:rsidDel="00000000" w:rsidR="00000000" w:rsidRPr="00000000">
        <w:rPr>
          <w:rFonts w:ascii="Times New Roman" w:cs="Times New Roman" w:eastAsia="Times New Roman" w:hAnsi="Times New Roman"/>
          <w:sz w:val="24"/>
          <w:szCs w:val="24"/>
          <w:rtl w:val="0"/>
        </w:rPr>
        <w:t xml:space="preserve">, please visit: </w:t>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https://www.redfin.com/news/contract-cancellations-may-2026</w:t>
        </w:r>
      </w:hyperlink>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65">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66">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67">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6">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7">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city/5665/MI/Detroit" TargetMode="External"/><Relationship Id="rId22" Type="http://schemas.openxmlformats.org/officeDocument/2006/relationships/hyperlink" Target="https://www.redfin.com/news/buyers-vs-sellers-may-2026/" TargetMode="External"/><Relationship Id="rId21" Type="http://schemas.openxmlformats.org/officeDocument/2006/relationships/hyperlink" Target="https://www.redfin.com/city/8903/TX/Houston" TargetMode="External"/><Relationship Id="rId24" Type="http://schemas.openxmlformats.org/officeDocument/2006/relationships/hyperlink" Target="https://www.redfin.com/news/buyers-vs-sellers-may-2026/" TargetMode="External"/><Relationship Id="rId23" Type="http://schemas.openxmlformats.org/officeDocument/2006/relationships/hyperlink" Target="https://www.redfin.com/news/san-francisco-home-prices-march-202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buyers-vs-sellers-may-2026/" TargetMode="External"/><Relationship Id="rId26" Type="http://schemas.openxmlformats.org/officeDocument/2006/relationships/hyperlink" Target="https://www.redfin.com/news" TargetMode="External"/><Relationship Id="rId25" Type="http://schemas.openxmlformats.org/officeDocument/2006/relationships/hyperlink" Target="https://www.redfin.com/news/contract-cancellations-may-2026" TargetMode="External"/><Relationship Id="rId28" Type="http://schemas.openxmlformats.org/officeDocument/2006/relationships/hyperlink" Target="mailto:press@redfin.com" TargetMode="External"/><Relationship Id="rId27" Type="http://schemas.openxmlformats.org/officeDocument/2006/relationships/hyperlink" Target="https://www.rocketcompanies.com/" TargetMode="External"/><Relationship Id="rId5" Type="http://schemas.openxmlformats.org/officeDocument/2006/relationships/styles" Target="styles.xml"/><Relationship Id="rId6" Type="http://schemas.openxmlformats.org/officeDocument/2006/relationships/hyperlink" Target="https://www.redfin.com/news/contract-cancellations-may-2026" TargetMode="External"/><Relationship Id="rId29" Type="http://schemas.openxmlformats.org/officeDocument/2006/relationships/header" Target="header1.xml"/><Relationship Id="rId7" Type="http://schemas.openxmlformats.org/officeDocument/2006/relationships/hyperlink" Target="https://www.redfin.com/" TargetMode="External"/><Relationship Id="rId8" Type="http://schemas.openxmlformats.org/officeDocument/2006/relationships/hyperlink" Target="https://www.redfin.com/news/buyers-vs-sellers-may-2026/" TargetMode="External"/><Relationship Id="rId11" Type="http://schemas.openxmlformats.org/officeDocument/2006/relationships/hyperlink" Target="https://www.redfin.com/premier" TargetMode="External"/><Relationship Id="rId10" Type="http://schemas.openxmlformats.org/officeDocument/2006/relationships/hyperlink" Target="https://conniedurnal.com/" TargetMode="External"/><Relationship Id="rId13" Type="http://schemas.openxmlformats.org/officeDocument/2006/relationships/hyperlink" Target="https://www.redfin.com/city/30827/TX/Fort-Worth" TargetMode="External"/><Relationship Id="rId12" Type="http://schemas.openxmlformats.org/officeDocument/2006/relationships/hyperlink" Target="https://www.redfin.com/city/30756/GA/Atlanta" TargetMode="External"/><Relationship Id="rId15" Type="http://schemas.openxmlformats.org/officeDocument/2006/relationships/hyperlink" Target="https://www.redfin.com/city/16657/TX/San-Antonio" TargetMode="External"/><Relationship Id="rId14" Type="http://schemas.openxmlformats.org/officeDocument/2006/relationships/hyperlink" Target="https://www.redfin.com/city/8907/FL/Jacksonville" TargetMode="External"/><Relationship Id="rId17" Type="http://schemas.openxmlformats.org/officeDocument/2006/relationships/hyperlink" Target="https://www.redfin.com/city/14240/AZ/Phoenix" TargetMode="External"/><Relationship Id="rId16" Type="http://schemas.openxmlformats.org/officeDocument/2006/relationships/hyperlink" Target="https://www.redfin.com/city/13655/FL/Orlando" TargetMode="External"/><Relationship Id="rId19" Type="http://schemas.openxmlformats.org/officeDocument/2006/relationships/hyperlink" Target="https://www.redfin.com/city/30794/TX/Dallas" TargetMode="External"/><Relationship Id="rId18" Type="http://schemas.openxmlformats.org/officeDocument/2006/relationships/hyperlink" Target="https://www.redfin.com/city/18142/FL/Tam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