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widowControl w:val="0"/>
        <w:spacing w:line="240" w:lineRule="auto"/>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FOR RELEASE SEPTEMBER 3, 2026 5:30 A.M. PACIFIC TIME</w:t>
      </w:r>
    </w:p>
    <w:p w:rsidR="00000000" w:rsidDel="00000000" w:rsidP="00000000" w:rsidRDefault="00000000" w:rsidRPr="00000000" w14:paraId="00000002">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3">
      <w:pPr>
        <w:spacing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Redfin Report: </w:t>
      </w:r>
      <w:r w:rsidDel="00000000" w:rsidR="00000000" w:rsidRPr="00000000">
        <w:rPr>
          <w:rFonts w:ascii="Times New Roman" w:cs="Times New Roman" w:eastAsia="Times New Roman" w:hAnsi="Times New Roman"/>
          <w:b w:val="1"/>
          <w:bCs w:val="1"/>
          <w:sz w:val="24"/>
          <w:szCs w:val="24"/>
          <w:highlight w:val="white"/>
          <w:rtl w:val="0"/>
        </w:rPr>
        <w:t xml:space="preserve">Florida’s Luxury Market Pulls Away From the Pack, With Miami and Tampa Posting Double-Digit Price Increases</w:t>
      </w:r>
      <w:r w:rsidDel="00000000" w:rsidR="00000000" w:rsidRPr="00000000">
        <w:rPr>
          <w:rtl w:val="0"/>
        </w:rPr>
      </w:r>
    </w:p>
    <w:p w:rsidR="00000000" w:rsidDel="00000000" w:rsidP="00000000" w:rsidRDefault="00000000" w:rsidRPr="00000000" w14:paraId="00000004">
      <w:pPr>
        <w:spacing w:line="240" w:lineRule="auto"/>
        <w:jc w:val="center"/>
        <w:rPr>
          <w:rFonts w:ascii="Times New Roman" w:cs="Times New Roman" w:eastAsia="Times New Roman" w:hAnsi="Times New Roman"/>
          <w:b w:val="1"/>
          <w:bCs w:val="1"/>
          <w:sz w:val="24"/>
          <w:szCs w:val="24"/>
          <w:highlight w:val="white"/>
        </w:rPr>
      </w:pPr>
      <w:r w:rsidDel="00000000" w:rsidR="00000000" w:rsidRPr="00000000">
        <w:rPr>
          <w:rtl w:val="0"/>
        </w:rPr>
      </w:r>
    </w:p>
    <w:p w:rsidR="00000000" w:rsidDel="00000000" w:rsidP="00000000" w:rsidRDefault="00000000" w:rsidRPr="00000000" w14:paraId="00000005">
      <w:pPr>
        <w:numPr>
          <w:ilvl w:val="0"/>
          <w:numId w:val="1"/>
        </w:numPr>
        <w:spacing w:line="240" w:lineRule="auto"/>
        <w:ind w:left="720" w:hanging="360"/>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The luxury housing market in parts of Florida is outperforming the U.S. luxury market as affluent buyers flock to the Sunshine State, fueling high-end demand</w:t>
      </w:r>
    </w:p>
    <w:p w:rsidR="00000000" w:rsidDel="00000000" w:rsidP="00000000" w:rsidRDefault="00000000" w:rsidRPr="00000000" w14:paraId="00000006">
      <w:pPr>
        <w:numPr>
          <w:ilvl w:val="0"/>
          <w:numId w:val="1"/>
        </w:numPr>
        <w:spacing w:line="240" w:lineRule="auto"/>
        <w:ind w:left="720" w:hanging="360"/>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Luxury prices in Miami and Tampa are rising faster than anywhere else in the natio</w:t>
      </w:r>
      <w:r w:rsidDel="00000000" w:rsidR="00000000" w:rsidRPr="00000000">
        <w:rPr>
          <w:rFonts w:ascii="Times New Roman" w:cs="Times New Roman" w:eastAsia="Times New Roman" w:hAnsi="Times New Roman"/>
          <w:i w:val="1"/>
          <w:iCs w:val="1"/>
          <w:sz w:val="24"/>
          <w:szCs w:val="24"/>
          <w:rtl w:val="0"/>
        </w:rPr>
        <w:t xml:space="preserve">n</w:t>
      </w:r>
      <w:r w:rsidDel="00000000" w:rsidR="00000000" w:rsidRPr="00000000">
        <w:rPr>
          <w:rtl w:val="0"/>
        </w:rPr>
      </w:r>
    </w:p>
    <w:p w:rsidR="00000000" w:rsidDel="00000000" w:rsidP="00000000" w:rsidRDefault="00000000" w:rsidRPr="00000000" w14:paraId="00000007">
      <w:pPr>
        <w:numPr>
          <w:ilvl w:val="0"/>
          <w:numId w:val="1"/>
        </w:numPr>
        <w:ind w:left="720" w:hanging="360"/>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In West Palm Beach, luxury sales are rising faster than anywhere else. </w:t>
      </w:r>
      <w:r w:rsidDel="00000000" w:rsidR="00000000" w:rsidRPr="00000000">
        <w:rPr>
          <w:rtl w:val="0"/>
        </w:rPr>
      </w:r>
    </w:p>
    <w:p w:rsidR="00000000" w:rsidDel="00000000" w:rsidP="00000000" w:rsidRDefault="00000000" w:rsidRPr="00000000" w14:paraId="00000008">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9">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SEATTLE</w:t>
      </w:r>
      <w:r w:rsidDel="00000000" w:rsidR="00000000" w:rsidRPr="00000000">
        <w:rPr>
          <w:rFonts w:ascii="Times New Roman" w:cs="Times New Roman" w:eastAsia="Times New Roman" w:hAnsi="Times New Roman"/>
          <w:sz w:val="24"/>
          <w:szCs w:val="24"/>
          <w:rtl w:val="0"/>
        </w:rPr>
        <w:t xml:space="preserve"> — Sept. 3, 2026 — Luxury home-sale prices in Miami rose 18% year over year in July, the biggest increase of the 50 most populous U.S. metros. That’s followed by Tampa, where prices increased 15.4%, </w:t>
      </w:r>
      <w:r w:rsidDel="00000000" w:rsidR="00000000" w:rsidRPr="00000000">
        <w:rPr>
          <w:rFonts w:ascii="Times New Roman" w:cs="Times New Roman" w:eastAsia="Times New Roman" w:hAnsi="Times New Roman"/>
          <w:sz w:val="24"/>
          <w:szCs w:val="24"/>
          <w:rtl w:val="0"/>
        </w:rPr>
        <w:t xml:space="preserve">according to a </w:t>
      </w:r>
      <w:r w:rsidDel="00000000" w:rsidR="00000000" w:rsidRPr="00000000">
        <w:rPr>
          <w:rFonts w:ascii="Times New Roman" w:cs="Times New Roman" w:eastAsia="Times New Roman" w:hAnsi="Times New Roman"/>
          <w:sz w:val="24"/>
          <w:szCs w:val="24"/>
          <w:rtl w:val="0"/>
        </w:rPr>
        <w:t xml:space="preserve">new </w:t>
      </w:r>
      <w:hyperlink r:id="rId6">
        <w:r w:rsidDel="00000000" w:rsidR="00000000" w:rsidRPr="00000000">
          <w:rPr>
            <w:rFonts w:ascii="Times New Roman" w:cs="Times New Roman" w:eastAsia="Times New Roman" w:hAnsi="Times New Roman"/>
            <w:color w:val="1155cc"/>
            <w:sz w:val="24"/>
            <w:szCs w:val="24"/>
            <w:u w:val="single"/>
            <w:rtl w:val="0"/>
          </w:rPr>
          <w:t xml:space="preserve">report</w:t>
        </w:r>
      </w:hyperlink>
      <w:r w:rsidDel="00000000" w:rsidR="00000000" w:rsidRPr="00000000">
        <w:rPr>
          <w:rFonts w:ascii="Times New Roman" w:cs="Times New Roman" w:eastAsia="Times New Roman" w:hAnsi="Times New Roman"/>
          <w:sz w:val="24"/>
          <w:szCs w:val="24"/>
          <w:rtl w:val="0"/>
        </w:rPr>
        <w:t xml:space="preserve"> from </w:t>
      </w:r>
      <w:hyperlink r:id="rId7">
        <w:r w:rsidDel="00000000" w:rsidR="00000000" w:rsidRPr="00000000">
          <w:rPr>
            <w:rFonts w:ascii="Times New Roman" w:cs="Times New Roman" w:eastAsia="Times New Roman" w:hAnsi="Times New Roman"/>
            <w:color w:val="1155cc"/>
            <w:sz w:val="24"/>
            <w:szCs w:val="24"/>
            <w:u w:val="single"/>
            <w:rtl w:val="0"/>
          </w:rPr>
          <w:t xml:space="preserve">Redfin</w:t>
        </w:r>
      </w:hyperlink>
      <w:r w:rsidDel="00000000" w:rsidR="00000000" w:rsidRPr="00000000">
        <w:rPr>
          <w:rFonts w:ascii="Times New Roman" w:cs="Times New Roman" w:eastAsia="Times New Roman" w:hAnsi="Times New Roman"/>
          <w:sz w:val="24"/>
          <w:szCs w:val="24"/>
          <w:rtl w:val="0"/>
        </w:rPr>
        <w:t xml:space="preserve">, the real estate brokerage powered by Rocket. Luxury prices are growing at least three times faster in those Sunshine State metros as they are in the U.S. as a whole, which posted a 5.3% uptick in July. </w:t>
      </w:r>
    </w:p>
    <w:p w:rsidR="00000000" w:rsidDel="00000000" w:rsidP="00000000" w:rsidRDefault="00000000" w:rsidRPr="00000000" w14:paraId="0000000A">
      <w:pPr>
        <w:spacing w:line="240" w:lineRule="auto"/>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0B">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Non-luxury prices fell 1.3% in Miami, and they were essentially unchanged (0.3%) in Tampa. Luxury home prices are rising on both Florida coasts even as non-luxury prices stagnate, fueled by an influx of wealthy buyers snapping up high-end properties across the state.</w:t>
      </w:r>
    </w:p>
    <w:p w:rsidR="00000000" w:rsidDel="00000000" w:rsidP="00000000" w:rsidRDefault="00000000" w:rsidRPr="00000000" w14:paraId="0000000C">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D">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Billionaires, tech entrepreneurs, executives and other affluent Americans are drawn to Florida for its favorable tax environment, warm weather and waterfront lifestyle, keeping demand for luxury homes strong even as the broader housing market softens. Florida </w:t>
      </w:r>
      <w:hyperlink r:id="rId8">
        <w:r w:rsidDel="00000000" w:rsidR="00000000" w:rsidRPr="00000000">
          <w:rPr>
            <w:rFonts w:ascii="Times New Roman" w:cs="Times New Roman" w:eastAsia="Times New Roman" w:hAnsi="Times New Roman"/>
            <w:color w:val="1155cc"/>
            <w:sz w:val="24"/>
            <w:szCs w:val="24"/>
            <w:u w:val="single"/>
            <w:rtl w:val="0"/>
          </w:rPr>
          <w:t xml:space="preserve">attracts affluent buyers</w:t>
        </w:r>
      </w:hyperlink>
      <w:r w:rsidDel="00000000" w:rsidR="00000000" w:rsidRPr="00000000">
        <w:rPr>
          <w:rFonts w:ascii="Times New Roman" w:cs="Times New Roman" w:eastAsia="Times New Roman" w:hAnsi="Times New Roman"/>
          <w:sz w:val="24"/>
          <w:szCs w:val="24"/>
          <w:rtl w:val="0"/>
        </w:rPr>
        <w:t xml:space="preserve"> from places like New York and California. Miami and West Palm Beach, in particular, have become</w:t>
      </w:r>
      <w:r w:rsidDel="00000000" w:rsidR="00000000" w:rsidRPr="00000000">
        <w:rPr>
          <w:rFonts w:ascii="Times New Roman" w:cs="Times New Roman" w:eastAsia="Times New Roman" w:hAnsi="Times New Roman"/>
          <w:sz w:val="24"/>
          <w:szCs w:val="24"/>
          <w:rtl w:val="0"/>
        </w:rPr>
        <w:t xml:space="preserve"> magnets</w:t>
      </w:r>
      <w:r w:rsidDel="00000000" w:rsidR="00000000" w:rsidRPr="00000000">
        <w:rPr>
          <w:rFonts w:ascii="Times New Roman" w:cs="Times New Roman" w:eastAsia="Times New Roman" w:hAnsi="Times New Roman"/>
          <w:sz w:val="24"/>
          <w:szCs w:val="24"/>
          <w:rtl w:val="0"/>
        </w:rPr>
        <w:t xml:space="preserve"> for the ultra-wealthy. Mark Zuckerberg, for example, recently paid</w:t>
      </w:r>
      <w:hyperlink r:id="rId9">
        <w:r w:rsidDel="00000000" w:rsidR="00000000" w:rsidRPr="00000000">
          <w:rPr>
            <w:rFonts w:ascii="Times New Roman" w:cs="Times New Roman" w:eastAsia="Times New Roman" w:hAnsi="Times New Roman"/>
            <w:color w:val="1155cc"/>
            <w:sz w:val="24"/>
            <w:szCs w:val="24"/>
            <w:u w:val="single"/>
            <w:rtl w:val="0"/>
          </w:rPr>
          <w:t xml:space="preserve"> $170 million</w:t>
        </w:r>
      </w:hyperlink>
      <w:r w:rsidDel="00000000" w:rsidR="00000000" w:rsidRPr="00000000">
        <w:rPr>
          <w:rFonts w:ascii="Times New Roman" w:cs="Times New Roman" w:eastAsia="Times New Roman" w:hAnsi="Times New Roman"/>
          <w:sz w:val="24"/>
          <w:szCs w:val="24"/>
          <w:rtl w:val="0"/>
        </w:rPr>
        <w:t xml:space="preserve"> for an estate on Miami’s Indian Creek Island. Florida is home to half of </w:t>
      </w:r>
      <w:hyperlink r:id="rId10">
        <w:r w:rsidDel="00000000" w:rsidR="00000000" w:rsidRPr="00000000">
          <w:rPr>
            <w:rFonts w:ascii="Times New Roman" w:cs="Times New Roman" w:eastAsia="Times New Roman" w:hAnsi="Times New Roman"/>
            <w:color w:val="1155cc"/>
            <w:sz w:val="24"/>
            <w:szCs w:val="24"/>
            <w:u w:val="single"/>
            <w:rtl w:val="0"/>
          </w:rPr>
          <w:t xml:space="preserve">2026’s priciest home sales</w:t>
        </w:r>
      </w:hyperlink>
      <w:r w:rsidDel="00000000" w:rsidR="00000000" w:rsidRPr="00000000">
        <w:rPr>
          <w:rFonts w:ascii="Times New Roman" w:cs="Times New Roman" w:eastAsia="Times New Roman" w:hAnsi="Times New Roman"/>
          <w:sz w:val="24"/>
          <w:szCs w:val="24"/>
          <w:rtl w:val="0"/>
        </w:rPr>
        <w:t xml:space="preserve"> so far, and those blockbuster deals are helping push luxury prices higher. </w:t>
      </w:r>
    </w:p>
    <w:p w:rsidR="00000000" w:rsidDel="00000000" w:rsidP="00000000" w:rsidRDefault="00000000" w:rsidRPr="00000000" w14:paraId="0000000E">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F">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Tight inventory is another factor pushing prices up. The total number of homes for sale fell 18.1% year over year in Miami, the third-biggest decline in the U.S., and they fell 16.1% in Tampa. </w:t>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spacing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Luxury Home Sales Are Rising Fastest in West Palm Beach </w:t>
      </w:r>
    </w:p>
    <w:p w:rsidR="00000000" w:rsidDel="00000000" w:rsidP="00000000" w:rsidRDefault="00000000" w:rsidRPr="00000000" w14:paraId="00000012">
      <w:pPr>
        <w:spacing w:line="240"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13">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Sales of luxury homes in West Palm Beach, FL rose 43.9% year over year in July, the biggest increase in the U.S. Nationwide, luxury sales increased 5%.</w:t>
      </w:r>
    </w:p>
    <w:p w:rsidR="00000000" w:rsidDel="00000000" w:rsidP="00000000" w:rsidRDefault="00000000" w:rsidRPr="00000000" w14:paraId="00000014">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5">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iCs w:val="1"/>
          <w:sz w:val="24"/>
          <w:szCs w:val="24"/>
          <w:rtl w:val="0"/>
        </w:rPr>
        <w:t xml:space="preserve">Pending </w:t>
      </w:r>
      <w:r w:rsidDel="00000000" w:rsidR="00000000" w:rsidRPr="00000000">
        <w:rPr>
          <w:rFonts w:ascii="Times New Roman" w:cs="Times New Roman" w:eastAsia="Times New Roman" w:hAnsi="Times New Roman"/>
          <w:sz w:val="24"/>
          <w:szCs w:val="24"/>
          <w:rtl w:val="0"/>
        </w:rPr>
        <w:t xml:space="preserve">luxury sales in West Palm Beach rose 20.1% year over year, the second-biggest increase in the nation. West Palm Beach luxury pending sales have been rising by double digits for nearly a year, since October 2025.</w:t>
      </w:r>
    </w:p>
    <w:p w:rsidR="00000000" w:rsidDel="00000000" w:rsidP="00000000" w:rsidRDefault="00000000" w:rsidRPr="00000000" w14:paraId="00000016">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7">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West Palm Beach’s luxury market is booming partly because the area attracts both affluent retirees and wealthy, working-age buyers, like Miami and other parts of Florida. An influx of finance firms and highly paid executives has helped turn the region into a growing “Wall Street South”: Financial firms </w:t>
      </w:r>
      <w:r w:rsidDel="00000000" w:rsidR="00000000" w:rsidRPr="00000000">
        <w:rPr>
          <w:rFonts w:ascii="Times New Roman" w:cs="Times New Roman" w:eastAsia="Times New Roman" w:hAnsi="Times New Roman"/>
          <w:sz w:val="24"/>
          <w:szCs w:val="24"/>
          <w:rtl w:val="0"/>
        </w:rPr>
        <w:t xml:space="preserve">including Goldman Sachs and Wells Fargo</w:t>
      </w:r>
      <w:r w:rsidDel="00000000" w:rsidR="00000000" w:rsidRPr="00000000">
        <w:rPr>
          <w:rFonts w:ascii="Times New Roman" w:cs="Times New Roman" w:eastAsia="Times New Roman" w:hAnsi="Times New Roman"/>
          <w:sz w:val="24"/>
          <w:szCs w:val="24"/>
          <w:rtl w:val="0"/>
        </w:rPr>
        <w:t xml:space="preserve"> have established major operations in the region. Many of those buyers are also less sensitive to elevated mortgage rates because they can afford to pay cash, helping luxury demand stay strong even as affordability weighs on the broader housing market.</w:t>
      </w:r>
    </w:p>
    <w:p w:rsidR="00000000" w:rsidDel="00000000" w:rsidP="00000000" w:rsidRDefault="00000000" w:rsidRPr="00000000" w14:paraId="00000018">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9">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luxury market here is insulated; high-end properties priced over $1 million are moving fast,” said </w:t>
      </w:r>
      <w:hyperlink r:id="rId11">
        <w:r w:rsidDel="00000000" w:rsidR="00000000" w:rsidRPr="00000000">
          <w:rPr>
            <w:rFonts w:ascii="Times New Roman" w:cs="Times New Roman" w:eastAsia="Times New Roman" w:hAnsi="Times New Roman"/>
            <w:color w:val="1155cc"/>
            <w:sz w:val="24"/>
            <w:szCs w:val="24"/>
            <w:u w:val="single"/>
            <w:rtl w:val="0"/>
          </w:rPr>
          <w:t xml:space="preserve">Jonathan Buch</w:t>
        </w:r>
      </w:hyperlink>
      <w:r w:rsidDel="00000000" w:rsidR="00000000" w:rsidRPr="00000000">
        <w:rPr>
          <w:rFonts w:ascii="Times New Roman" w:cs="Times New Roman" w:eastAsia="Times New Roman" w:hAnsi="Times New Roman"/>
          <w:sz w:val="24"/>
          <w:szCs w:val="24"/>
          <w:rtl w:val="0"/>
        </w:rPr>
        <w:t xml:space="preserve">, a </w:t>
      </w:r>
      <w:hyperlink r:id="rId12">
        <w:r w:rsidDel="00000000" w:rsidR="00000000" w:rsidRPr="00000000">
          <w:rPr>
            <w:rFonts w:ascii="Times New Roman" w:cs="Times New Roman" w:eastAsia="Times New Roman" w:hAnsi="Times New Roman"/>
            <w:color w:val="1155cc"/>
            <w:sz w:val="24"/>
            <w:szCs w:val="24"/>
            <w:u w:val="single"/>
            <w:rtl w:val="0"/>
          </w:rPr>
          <w:t xml:space="preserve">Redfin Premier</w:t>
        </w:r>
      </w:hyperlink>
      <w:r w:rsidDel="00000000" w:rsidR="00000000" w:rsidRPr="00000000">
        <w:rPr>
          <w:rFonts w:ascii="Times New Roman" w:cs="Times New Roman" w:eastAsia="Times New Roman" w:hAnsi="Times New Roman"/>
          <w:sz w:val="24"/>
          <w:szCs w:val="24"/>
          <w:rtl w:val="0"/>
        </w:rPr>
        <w:t xml:space="preserve"> agent in West Palm Beach. “Affluent buyers aren’t constrained by mortgage rates and uncertainty in the economy the way average buyers are. Waterfront homes in places like Boca Raton, Delray Beach and Jupiter are always going to be popular; there’s no shortage of wealthy people who want a place on the beach.”</w:t>
      </w:r>
    </w:p>
    <w:p w:rsidR="00000000" w:rsidDel="00000000" w:rsidP="00000000" w:rsidRDefault="00000000" w:rsidRPr="00000000" w14:paraId="0000001A">
      <w:pPr>
        <w:spacing w:line="240" w:lineRule="auto"/>
        <w:rPr>
          <w:rFonts w:ascii="Times New Roman" w:cs="Times New Roman" w:eastAsia="Times New Roman" w:hAnsi="Times New Roman"/>
          <w:b w:val="1"/>
          <w:bCs w:val="1"/>
          <w:sz w:val="28"/>
          <w:szCs w:val="28"/>
        </w:rPr>
      </w:pPr>
      <w:r w:rsidDel="00000000" w:rsidR="00000000" w:rsidRPr="00000000">
        <w:rPr>
          <w:rtl w:val="0"/>
        </w:rPr>
      </w:r>
    </w:p>
    <w:tbl>
      <w:tblPr>
        <w:tblStyle w:val="Table1"/>
        <w:tblpPr w:leftFromText="180" w:rightFromText="180" w:topFromText="180" w:bottomFromText="180" w:vertAnchor="text" w:horzAnchor="text" w:tblpX="-450" w:tblpY="0"/>
        <w:tblW w:w="9975.0" w:type="dxa"/>
        <w:jc w:val="left"/>
        <w:tblInd w:w="-555.0" w:type="dxa"/>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600"/>
      </w:tblPr>
      <w:tblGrid>
        <w:gridCol w:w="2430"/>
        <w:gridCol w:w="2835"/>
        <w:gridCol w:w="2355"/>
        <w:gridCol w:w="2355"/>
        <w:tblGridChange w:id="0">
          <w:tblGrid>
            <w:gridCol w:w="2430"/>
            <w:gridCol w:w="2835"/>
            <w:gridCol w:w="2355"/>
            <w:gridCol w:w="2355"/>
          </w:tblGrid>
        </w:tblGridChange>
      </w:tblGrid>
      <w:tr>
        <w:trPr>
          <w:cantSplit w:val="0"/>
          <w:trHeight w:val="555" w:hRule="atLeast"/>
          <w:tblHeader w:val="1"/>
        </w:trPr>
        <w:tc>
          <w:tcPr>
            <w:gridSpan w:val="4"/>
            <w:tcMar>
              <w:top w:w="20.0" w:type="dxa"/>
              <w:left w:w="20.0" w:type="dxa"/>
              <w:right w:w="20.0" w:type="dxa"/>
            </w:tcMar>
            <w:vAlign w:val="bottom"/>
          </w:tcPr>
          <w:p w:rsidR="00000000" w:rsidDel="00000000" w:rsidP="00000000" w:rsidRDefault="00000000" w:rsidRPr="00000000" w14:paraId="0000001B">
            <w:pPr>
              <w:spacing w:line="240" w:lineRule="auto"/>
              <w:rPr>
                <w:rFonts w:ascii="Times New Roman" w:cs="Times New Roman" w:eastAsia="Times New Roman" w:hAnsi="Times New Roman"/>
                <w:sz w:val="20"/>
                <w:szCs w:val="20"/>
                <w:highlight w:val="white"/>
              </w:rPr>
            </w:pPr>
            <w:r w:rsidDel="00000000" w:rsidR="00000000" w:rsidRPr="00000000">
              <w:rPr>
                <w:rFonts w:ascii="Times New Roman" w:cs="Times New Roman" w:eastAsia="Times New Roman" w:hAnsi="Times New Roman"/>
                <w:b w:val="1"/>
                <w:bCs w:val="1"/>
                <w:sz w:val="26"/>
                <w:szCs w:val="26"/>
                <w:rtl w:val="0"/>
              </w:rPr>
              <w:t xml:space="preserve">Luxury Market Summary for Select Florida Metros: Three Months Ending July 2026</w:t>
            </w:r>
            <w:r w:rsidDel="00000000" w:rsidR="00000000" w:rsidRPr="00000000">
              <w:rPr>
                <w:rtl w:val="0"/>
              </w:rPr>
            </w:r>
          </w:p>
        </w:tc>
      </w:tr>
      <w:tr>
        <w:trPr>
          <w:cantSplit w:val="0"/>
          <w:trHeight w:val="555" w:hRule="atLeast"/>
          <w:tblHeader w:val="1"/>
        </w:trPr>
        <w:tc>
          <w:tcPr>
            <w:tcMar>
              <w:top w:w="20.0" w:type="dxa"/>
              <w:left w:w="20.0" w:type="dxa"/>
              <w:right w:w="20.0" w:type="dxa"/>
            </w:tcMar>
            <w:vAlign w:val="bottom"/>
          </w:tcPr>
          <w:p w:rsidR="00000000" w:rsidDel="00000000" w:rsidP="00000000" w:rsidRDefault="00000000" w:rsidRPr="00000000" w14:paraId="0000001F">
            <w:pPr>
              <w:widowControl w:val="0"/>
              <w:spacing w:line="240" w:lineRule="auto"/>
              <w:rPr>
                <w:rFonts w:ascii="Times New Roman" w:cs="Times New Roman" w:eastAsia="Times New Roman" w:hAnsi="Times New Roman"/>
                <w:sz w:val="20"/>
                <w:szCs w:val="20"/>
                <w:highlight w:val="white"/>
              </w:rPr>
            </w:pPr>
            <w:r w:rsidDel="00000000" w:rsidR="00000000" w:rsidRPr="00000000">
              <w:rPr>
                <w:rtl w:val="0"/>
              </w:rPr>
            </w:r>
          </w:p>
        </w:tc>
        <w:tc>
          <w:tcPr>
            <w:tcMar>
              <w:top w:w="20.0" w:type="dxa"/>
              <w:left w:w="20.0" w:type="dxa"/>
              <w:right w:w="20.0" w:type="dxa"/>
            </w:tcMar>
            <w:vAlign w:val="bottom"/>
          </w:tcPr>
          <w:p w:rsidR="00000000" w:rsidDel="00000000" w:rsidP="00000000" w:rsidRDefault="00000000" w:rsidRPr="00000000" w14:paraId="00000020">
            <w:pPr>
              <w:widowControl w:val="0"/>
              <w:spacing w:line="240" w:lineRule="auto"/>
              <w:rPr>
                <w:rFonts w:ascii="Times New Roman" w:cs="Times New Roman" w:eastAsia="Times New Roman" w:hAnsi="Times New Roman"/>
                <w:b w:val="1"/>
                <w:bCs w:val="1"/>
                <w:sz w:val="20"/>
                <w:szCs w:val="20"/>
                <w:highlight w:val="white"/>
              </w:rPr>
            </w:pPr>
            <w:hyperlink r:id="rId13">
              <w:r w:rsidDel="00000000" w:rsidR="00000000" w:rsidRPr="00000000">
                <w:rPr>
                  <w:rFonts w:ascii="Times New Roman" w:cs="Times New Roman" w:eastAsia="Times New Roman" w:hAnsi="Times New Roman"/>
                  <w:b w:val="1"/>
                  <w:bCs w:val="1"/>
                  <w:color w:val="1155cc"/>
                  <w:sz w:val="20"/>
                  <w:szCs w:val="20"/>
                  <w:highlight w:val="white"/>
                  <w:u w:val="single"/>
                  <w:rtl w:val="0"/>
                </w:rPr>
                <w:t xml:space="preserve">Miami</w:t>
              </w:r>
            </w:hyperlink>
            <w:r w:rsidDel="00000000" w:rsidR="00000000" w:rsidRPr="00000000">
              <w:rPr>
                <w:rtl w:val="0"/>
              </w:rPr>
            </w:r>
          </w:p>
        </w:tc>
        <w:tc>
          <w:tcPr>
            <w:tcMar>
              <w:top w:w="20.0" w:type="dxa"/>
              <w:left w:w="20.0" w:type="dxa"/>
              <w:right w:w="20.0" w:type="dxa"/>
            </w:tcMar>
            <w:vAlign w:val="bottom"/>
          </w:tcPr>
          <w:p w:rsidR="00000000" w:rsidDel="00000000" w:rsidP="00000000" w:rsidRDefault="00000000" w:rsidRPr="00000000" w14:paraId="00000021">
            <w:pPr>
              <w:spacing w:line="240" w:lineRule="auto"/>
              <w:rPr>
                <w:rFonts w:ascii="Times New Roman" w:cs="Times New Roman" w:eastAsia="Times New Roman" w:hAnsi="Times New Roman"/>
                <w:b w:val="1"/>
                <w:bCs w:val="1"/>
                <w:sz w:val="20"/>
                <w:szCs w:val="20"/>
                <w:highlight w:val="white"/>
              </w:rPr>
            </w:pPr>
            <w:hyperlink r:id="rId14">
              <w:r w:rsidDel="00000000" w:rsidR="00000000" w:rsidRPr="00000000">
                <w:rPr>
                  <w:rFonts w:ascii="Times New Roman" w:cs="Times New Roman" w:eastAsia="Times New Roman" w:hAnsi="Times New Roman"/>
                  <w:b w:val="1"/>
                  <w:bCs w:val="1"/>
                  <w:color w:val="1155cc"/>
                  <w:sz w:val="20"/>
                  <w:szCs w:val="20"/>
                  <w:highlight w:val="white"/>
                  <w:u w:val="single"/>
                  <w:rtl w:val="0"/>
                </w:rPr>
                <w:t xml:space="preserve">Tampa</w:t>
              </w:r>
            </w:hyperlink>
            <w:r w:rsidDel="00000000" w:rsidR="00000000" w:rsidRPr="00000000">
              <w:rPr>
                <w:rtl w:val="0"/>
              </w:rPr>
            </w:r>
          </w:p>
        </w:tc>
        <w:tc>
          <w:tcPr>
            <w:tcMar>
              <w:top w:w="20.0" w:type="dxa"/>
              <w:left w:w="20.0" w:type="dxa"/>
              <w:right w:w="20.0" w:type="dxa"/>
            </w:tcMar>
            <w:vAlign w:val="bottom"/>
          </w:tcPr>
          <w:p w:rsidR="00000000" w:rsidDel="00000000" w:rsidP="00000000" w:rsidRDefault="00000000" w:rsidRPr="00000000" w14:paraId="00000022">
            <w:pPr>
              <w:spacing w:line="240" w:lineRule="auto"/>
              <w:rPr>
                <w:rFonts w:ascii="Times New Roman" w:cs="Times New Roman" w:eastAsia="Times New Roman" w:hAnsi="Times New Roman"/>
                <w:b w:val="1"/>
                <w:bCs w:val="1"/>
                <w:sz w:val="20"/>
                <w:szCs w:val="20"/>
                <w:highlight w:val="white"/>
              </w:rPr>
            </w:pPr>
            <w:hyperlink r:id="rId15">
              <w:r w:rsidDel="00000000" w:rsidR="00000000" w:rsidRPr="00000000">
                <w:rPr>
                  <w:rFonts w:ascii="Times New Roman" w:cs="Times New Roman" w:eastAsia="Times New Roman" w:hAnsi="Times New Roman"/>
                  <w:b w:val="1"/>
                  <w:bCs w:val="1"/>
                  <w:color w:val="1155cc"/>
                  <w:sz w:val="20"/>
                  <w:szCs w:val="20"/>
                  <w:highlight w:val="white"/>
                  <w:u w:val="single"/>
                  <w:rtl w:val="0"/>
                </w:rPr>
                <w:t xml:space="preserve">West Palm Beach </w:t>
              </w:r>
            </w:hyperlink>
            <w:r w:rsidDel="00000000" w:rsidR="00000000" w:rsidRPr="00000000">
              <w:rPr>
                <w:rtl w:val="0"/>
              </w:rPr>
            </w:r>
          </w:p>
        </w:tc>
      </w:tr>
      <w:tr>
        <w:trPr>
          <w:cantSplit w:val="0"/>
          <w:trHeight w:val="415" w:hRule="atLeast"/>
          <w:tblHeader w:val="1"/>
        </w:trPr>
        <w:tc>
          <w:tcPr>
            <w:tcMar>
              <w:top w:w="20.0" w:type="dxa"/>
              <w:left w:w="20.0" w:type="dxa"/>
              <w:right w:w="20.0" w:type="dxa"/>
            </w:tcMar>
            <w:vAlign w:val="bottom"/>
          </w:tcPr>
          <w:p w:rsidR="00000000" w:rsidDel="00000000" w:rsidP="00000000" w:rsidRDefault="00000000" w:rsidRPr="00000000" w14:paraId="00000023">
            <w:pPr>
              <w:spacing w:line="240" w:lineRule="auto"/>
              <w:rPr>
                <w:rFonts w:ascii="Times New Roman" w:cs="Times New Roman" w:eastAsia="Times New Roman" w:hAnsi="Times New Roman"/>
                <w:b w:val="1"/>
                <w:bCs w:val="1"/>
                <w:sz w:val="20"/>
                <w:szCs w:val="20"/>
                <w:highlight w:val="white"/>
              </w:rPr>
            </w:pPr>
            <w:r w:rsidDel="00000000" w:rsidR="00000000" w:rsidRPr="00000000">
              <w:rPr>
                <w:rFonts w:ascii="Times New Roman" w:cs="Times New Roman" w:eastAsia="Times New Roman" w:hAnsi="Times New Roman"/>
                <w:b w:val="1"/>
                <w:bCs w:val="1"/>
                <w:sz w:val="20"/>
                <w:szCs w:val="20"/>
                <w:highlight w:val="white"/>
                <w:rtl w:val="0"/>
              </w:rPr>
              <w:t xml:space="preserve">Median sale price</w:t>
            </w:r>
          </w:p>
        </w:tc>
        <w:tc>
          <w:tcPr>
            <w:tcMar>
              <w:top w:w="20.0" w:type="dxa"/>
              <w:left w:w="20.0" w:type="dxa"/>
              <w:right w:w="20.0" w:type="dxa"/>
            </w:tcMar>
            <w:vAlign w:val="bottom"/>
          </w:tcPr>
          <w:p w:rsidR="00000000" w:rsidDel="00000000" w:rsidP="00000000" w:rsidRDefault="00000000" w:rsidRPr="00000000" w14:paraId="00000024">
            <w:pPr>
              <w:spacing w:line="240" w:lineRule="auto"/>
              <w:rPr>
                <w:rFonts w:ascii="Times New Roman" w:cs="Times New Roman" w:eastAsia="Times New Roman" w:hAnsi="Times New Roman"/>
                <w:sz w:val="20"/>
                <w:szCs w:val="20"/>
                <w:highlight w:val="white"/>
              </w:rPr>
            </w:pPr>
            <w:r w:rsidDel="00000000" w:rsidR="00000000" w:rsidRPr="00000000">
              <w:rPr>
                <w:rFonts w:ascii="Times New Roman" w:cs="Times New Roman" w:eastAsia="Times New Roman" w:hAnsi="Times New Roman"/>
                <w:sz w:val="20"/>
                <w:szCs w:val="20"/>
                <w:highlight w:val="white"/>
                <w:rtl w:val="0"/>
              </w:rPr>
              <w:t xml:space="preserve">$5,017,755</w:t>
            </w:r>
          </w:p>
        </w:tc>
        <w:tc>
          <w:tcPr>
            <w:tcMar>
              <w:top w:w="20.0" w:type="dxa"/>
              <w:left w:w="20.0" w:type="dxa"/>
              <w:right w:w="20.0" w:type="dxa"/>
            </w:tcMar>
            <w:vAlign w:val="bottom"/>
          </w:tcPr>
          <w:p w:rsidR="00000000" w:rsidDel="00000000" w:rsidP="00000000" w:rsidRDefault="00000000" w:rsidRPr="00000000" w14:paraId="00000025">
            <w:pPr>
              <w:widowControl w:val="0"/>
              <w:spacing w:line="240" w:lineRule="auto"/>
              <w:rPr>
                <w:rFonts w:ascii="Times New Roman" w:cs="Times New Roman" w:eastAsia="Times New Roman" w:hAnsi="Times New Roman"/>
                <w:sz w:val="20"/>
                <w:szCs w:val="20"/>
                <w:highlight w:val="white"/>
              </w:rPr>
            </w:pPr>
            <w:r w:rsidDel="00000000" w:rsidR="00000000" w:rsidRPr="00000000">
              <w:rPr>
                <w:rFonts w:ascii="Times New Roman" w:cs="Times New Roman" w:eastAsia="Times New Roman" w:hAnsi="Times New Roman"/>
                <w:sz w:val="20"/>
                <w:szCs w:val="20"/>
                <w:highlight w:val="white"/>
                <w:rtl w:val="0"/>
              </w:rPr>
              <w:t xml:space="preserve">$1,644,824</w:t>
            </w:r>
          </w:p>
        </w:tc>
        <w:tc>
          <w:tcPr>
            <w:tcMar>
              <w:top w:w="20.0" w:type="dxa"/>
              <w:left w:w="20.0" w:type="dxa"/>
              <w:right w:w="20.0" w:type="dxa"/>
            </w:tcMar>
            <w:vAlign w:val="bottom"/>
          </w:tcPr>
          <w:p w:rsidR="00000000" w:rsidDel="00000000" w:rsidP="00000000" w:rsidRDefault="00000000" w:rsidRPr="00000000" w14:paraId="00000026">
            <w:pPr>
              <w:widowControl w:val="0"/>
              <w:spacing w:line="240" w:lineRule="auto"/>
              <w:rPr>
                <w:rFonts w:ascii="Times New Roman" w:cs="Times New Roman" w:eastAsia="Times New Roman" w:hAnsi="Times New Roman"/>
                <w:sz w:val="20"/>
                <w:szCs w:val="20"/>
                <w:highlight w:val="white"/>
              </w:rPr>
            </w:pPr>
            <w:r w:rsidDel="00000000" w:rsidR="00000000" w:rsidRPr="00000000">
              <w:rPr>
                <w:rFonts w:ascii="Times New Roman" w:cs="Times New Roman" w:eastAsia="Times New Roman" w:hAnsi="Times New Roman"/>
                <w:sz w:val="20"/>
                <w:szCs w:val="20"/>
                <w:highlight w:val="white"/>
                <w:rtl w:val="0"/>
              </w:rPr>
              <w:t xml:space="preserve">$4,522,818</w:t>
            </w:r>
          </w:p>
        </w:tc>
      </w:tr>
      <w:tr>
        <w:trPr>
          <w:cantSplit w:val="0"/>
          <w:trHeight w:val="415" w:hRule="atLeast"/>
          <w:tblHeader w:val="1"/>
        </w:trPr>
        <w:tc>
          <w:tcPr>
            <w:tcMar>
              <w:top w:w="20.0" w:type="dxa"/>
              <w:left w:w="20.0" w:type="dxa"/>
              <w:right w:w="20.0" w:type="dxa"/>
            </w:tcMar>
            <w:vAlign w:val="bottom"/>
          </w:tcPr>
          <w:p w:rsidR="00000000" w:rsidDel="00000000" w:rsidP="00000000" w:rsidRDefault="00000000" w:rsidRPr="00000000" w14:paraId="00000027">
            <w:pPr>
              <w:spacing w:line="240" w:lineRule="auto"/>
              <w:rPr>
                <w:rFonts w:ascii="Times New Roman" w:cs="Times New Roman" w:eastAsia="Times New Roman" w:hAnsi="Times New Roman"/>
                <w:b w:val="1"/>
                <w:bCs w:val="1"/>
                <w:sz w:val="20"/>
                <w:szCs w:val="20"/>
                <w:highlight w:val="white"/>
              </w:rPr>
            </w:pPr>
            <w:r w:rsidDel="00000000" w:rsidR="00000000" w:rsidRPr="00000000">
              <w:rPr>
                <w:rFonts w:ascii="Times New Roman" w:cs="Times New Roman" w:eastAsia="Times New Roman" w:hAnsi="Times New Roman"/>
                <w:b w:val="1"/>
                <w:bCs w:val="1"/>
                <w:sz w:val="20"/>
                <w:szCs w:val="20"/>
                <w:highlight w:val="white"/>
                <w:rtl w:val="0"/>
              </w:rPr>
              <w:t xml:space="preserve">Median sale price, YoY change</w:t>
            </w:r>
          </w:p>
        </w:tc>
        <w:tc>
          <w:tcPr>
            <w:tcMar>
              <w:top w:w="20.0" w:type="dxa"/>
              <w:left w:w="20.0" w:type="dxa"/>
              <w:right w:w="20.0" w:type="dxa"/>
            </w:tcMar>
            <w:vAlign w:val="bottom"/>
          </w:tcPr>
          <w:p w:rsidR="00000000" w:rsidDel="00000000" w:rsidP="00000000" w:rsidRDefault="00000000" w:rsidRPr="00000000" w14:paraId="00000028">
            <w:pPr>
              <w:spacing w:line="240" w:lineRule="auto"/>
              <w:rPr>
                <w:rFonts w:ascii="Times New Roman" w:cs="Times New Roman" w:eastAsia="Times New Roman" w:hAnsi="Times New Roman"/>
                <w:sz w:val="20"/>
                <w:szCs w:val="20"/>
                <w:highlight w:val="white"/>
              </w:rPr>
            </w:pPr>
            <w:r w:rsidDel="00000000" w:rsidR="00000000" w:rsidRPr="00000000">
              <w:rPr>
                <w:rFonts w:ascii="Times New Roman" w:cs="Times New Roman" w:eastAsia="Times New Roman" w:hAnsi="Times New Roman"/>
                <w:sz w:val="20"/>
                <w:szCs w:val="20"/>
                <w:highlight w:val="white"/>
                <w:rtl w:val="0"/>
              </w:rPr>
              <w:t xml:space="preserve">18%</w:t>
            </w:r>
          </w:p>
        </w:tc>
        <w:tc>
          <w:tcPr>
            <w:tcMar>
              <w:top w:w="20.0" w:type="dxa"/>
              <w:left w:w="20.0" w:type="dxa"/>
              <w:right w:w="20.0" w:type="dxa"/>
            </w:tcMar>
            <w:vAlign w:val="bottom"/>
          </w:tcPr>
          <w:p w:rsidR="00000000" w:rsidDel="00000000" w:rsidP="00000000" w:rsidRDefault="00000000" w:rsidRPr="00000000" w14:paraId="00000029">
            <w:pPr>
              <w:widowControl w:val="0"/>
              <w:spacing w:line="240" w:lineRule="auto"/>
              <w:rPr>
                <w:rFonts w:ascii="Times New Roman" w:cs="Times New Roman" w:eastAsia="Times New Roman" w:hAnsi="Times New Roman"/>
                <w:sz w:val="20"/>
                <w:szCs w:val="20"/>
                <w:highlight w:val="white"/>
              </w:rPr>
            </w:pPr>
            <w:r w:rsidDel="00000000" w:rsidR="00000000" w:rsidRPr="00000000">
              <w:rPr>
                <w:rFonts w:ascii="Times New Roman" w:cs="Times New Roman" w:eastAsia="Times New Roman" w:hAnsi="Times New Roman"/>
                <w:sz w:val="20"/>
                <w:szCs w:val="20"/>
                <w:highlight w:val="white"/>
                <w:rtl w:val="0"/>
              </w:rPr>
              <w:t xml:space="preserve">15.4%</w:t>
            </w:r>
          </w:p>
        </w:tc>
        <w:tc>
          <w:tcPr>
            <w:tcMar>
              <w:top w:w="20.0" w:type="dxa"/>
              <w:left w:w="20.0" w:type="dxa"/>
              <w:right w:w="20.0" w:type="dxa"/>
            </w:tcMar>
            <w:vAlign w:val="bottom"/>
          </w:tcPr>
          <w:p w:rsidR="00000000" w:rsidDel="00000000" w:rsidP="00000000" w:rsidRDefault="00000000" w:rsidRPr="00000000" w14:paraId="0000002A">
            <w:pPr>
              <w:widowControl w:val="0"/>
              <w:spacing w:line="240" w:lineRule="auto"/>
              <w:rPr>
                <w:rFonts w:ascii="Times New Roman" w:cs="Times New Roman" w:eastAsia="Times New Roman" w:hAnsi="Times New Roman"/>
                <w:sz w:val="20"/>
                <w:szCs w:val="20"/>
                <w:highlight w:val="white"/>
              </w:rPr>
            </w:pPr>
            <w:r w:rsidDel="00000000" w:rsidR="00000000" w:rsidRPr="00000000">
              <w:rPr>
                <w:rFonts w:ascii="Times New Roman" w:cs="Times New Roman" w:eastAsia="Times New Roman" w:hAnsi="Times New Roman"/>
                <w:sz w:val="20"/>
                <w:szCs w:val="20"/>
                <w:highlight w:val="white"/>
                <w:rtl w:val="0"/>
              </w:rPr>
              <w:t xml:space="preserve">7.5%</w:t>
            </w:r>
          </w:p>
        </w:tc>
      </w:tr>
      <w:tr>
        <w:trPr>
          <w:cantSplit w:val="0"/>
          <w:trHeight w:val="415" w:hRule="atLeast"/>
          <w:tblHeader w:val="1"/>
        </w:trPr>
        <w:tc>
          <w:tcPr>
            <w:tcMar>
              <w:top w:w="20.0" w:type="dxa"/>
              <w:left w:w="20.0" w:type="dxa"/>
              <w:right w:w="20.0" w:type="dxa"/>
            </w:tcMar>
            <w:vAlign w:val="bottom"/>
          </w:tcPr>
          <w:p w:rsidR="00000000" w:rsidDel="00000000" w:rsidP="00000000" w:rsidRDefault="00000000" w:rsidRPr="00000000" w14:paraId="0000002B">
            <w:pPr>
              <w:widowControl w:val="0"/>
              <w:spacing w:line="240" w:lineRule="auto"/>
              <w:rPr>
                <w:rFonts w:ascii="Times New Roman" w:cs="Times New Roman" w:eastAsia="Times New Roman" w:hAnsi="Times New Roman"/>
                <w:b w:val="1"/>
                <w:bCs w:val="1"/>
                <w:sz w:val="20"/>
                <w:szCs w:val="20"/>
                <w:highlight w:val="white"/>
              </w:rPr>
            </w:pPr>
            <w:r w:rsidDel="00000000" w:rsidR="00000000" w:rsidRPr="00000000">
              <w:rPr>
                <w:rFonts w:ascii="Times New Roman" w:cs="Times New Roman" w:eastAsia="Times New Roman" w:hAnsi="Times New Roman"/>
                <w:b w:val="1"/>
                <w:bCs w:val="1"/>
                <w:sz w:val="20"/>
                <w:szCs w:val="20"/>
                <w:highlight w:val="white"/>
                <w:rtl w:val="0"/>
              </w:rPr>
              <w:t xml:space="preserve">Pending home sales, YoY change</w:t>
            </w:r>
          </w:p>
        </w:tc>
        <w:tc>
          <w:tcPr>
            <w:tcMar>
              <w:top w:w="20.0" w:type="dxa"/>
              <w:left w:w="20.0" w:type="dxa"/>
              <w:right w:w="20.0" w:type="dxa"/>
            </w:tcMar>
            <w:vAlign w:val="bottom"/>
          </w:tcPr>
          <w:p w:rsidR="00000000" w:rsidDel="00000000" w:rsidP="00000000" w:rsidRDefault="00000000" w:rsidRPr="00000000" w14:paraId="0000002C">
            <w:pPr>
              <w:widowControl w:val="0"/>
              <w:spacing w:line="240" w:lineRule="auto"/>
              <w:rPr>
                <w:rFonts w:ascii="Times New Roman" w:cs="Times New Roman" w:eastAsia="Times New Roman" w:hAnsi="Times New Roman"/>
                <w:sz w:val="20"/>
                <w:szCs w:val="20"/>
                <w:highlight w:val="white"/>
              </w:rPr>
            </w:pPr>
            <w:r w:rsidDel="00000000" w:rsidR="00000000" w:rsidRPr="00000000">
              <w:rPr>
                <w:rFonts w:ascii="Times New Roman" w:cs="Times New Roman" w:eastAsia="Times New Roman" w:hAnsi="Times New Roman"/>
                <w:sz w:val="20"/>
                <w:szCs w:val="20"/>
                <w:highlight w:val="white"/>
                <w:rtl w:val="0"/>
              </w:rPr>
              <w:t xml:space="preserve">6.7%</w:t>
            </w:r>
          </w:p>
        </w:tc>
        <w:tc>
          <w:tcPr>
            <w:tcMar>
              <w:top w:w="20.0" w:type="dxa"/>
              <w:left w:w="20.0" w:type="dxa"/>
              <w:right w:w="20.0" w:type="dxa"/>
            </w:tcMar>
            <w:vAlign w:val="bottom"/>
          </w:tcPr>
          <w:p w:rsidR="00000000" w:rsidDel="00000000" w:rsidP="00000000" w:rsidRDefault="00000000" w:rsidRPr="00000000" w14:paraId="0000002D">
            <w:pPr>
              <w:widowControl w:val="0"/>
              <w:spacing w:line="240" w:lineRule="auto"/>
              <w:rPr>
                <w:rFonts w:ascii="Times New Roman" w:cs="Times New Roman" w:eastAsia="Times New Roman" w:hAnsi="Times New Roman"/>
                <w:sz w:val="20"/>
                <w:szCs w:val="20"/>
                <w:highlight w:val="white"/>
              </w:rPr>
            </w:pPr>
            <w:r w:rsidDel="00000000" w:rsidR="00000000" w:rsidRPr="00000000">
              <w:rPr>
                <w:rFonts w:ascii="Times New Roman" w:cs="Times New Roman" w:eastAsia="Times New Roman" w:hAnsi="Times New Roman"/>
                <w:sz w:val="20"/>
                <w:szCs w:val="20"/>
                <w:highlight w:val="white"/>
                <w:rtl w:val="0"/>
              </w:rPr>
              <w:t xml:space="preserve">1.4%</w:t>
            </w:r>
          </w:p>
        </w:tc>
        <w:tc>
          <w:tcPr>
            <w:tcMar>
              <w:top w:w="20.0" w:type="dxa"/>
              <w:left w:w="20.0" w:type="dxa"/>
              <w:right w:w="20.0" w:type="dxa"/>
            </w:tcMar>
            <w:vAlign w:val="bottom"/>
          </w:tcPr>
          <w:p w:rsidR="00000000" w:rsidDel="00000000" w:rsidP="00000000" w:rsidRDefault="00000000" w:rsidRPr="00000000" w14:paraId="0000002E">
            <w:pPr>
              <w:widowControl w:val="0"/>
              <w:spacing w:line="240" w:lineRule="auto"/>
              <w:rPr>
                <w:rFonts w:ascii="Times New Roman" w:cs="Times New Roman" w:eastAsia="Times New Roman" w:hAnsi="Times New Roman"/>
                <w:sz w:val="20"/>
                <w:szCs w:val="20"/>
                <w:highlight w:val="white"/>
              </w:rPr>
            </w:pPr>
            <w:r w:rsidDel="00000000" w:rsidR="00000000" w:rsidRPr="00000000">
              <w:rPr>
                <w:rFonts w:ascii="Times New Roman" w:cs="Times New Roman" w:eastAsia="Times New Roman" w:hAnsi="Times New Roman"/>
                <w:sz w:val="20"/>
                <w:szCs w:val="20"/>
                <w:highlight w:val="white"/>
                <w:rtl w:val="0"/>
              </w:rPr>
              <w:t xml:space="preserve">20.1%</w:t>
            </w:r>
          </w:p>
        </w:tc>
      </w:tr>
      <w:tr>
        <w:trPr>
          <w:cantSplit w:val="0"/>
          <w:trHeight w:val="415" w:hRule="atLeast"/>
          <w:tblHeader w:val="1"/>
        </w:trPr>
        <w:tc>
          <w:tcPr>
            <w:tcMar>
              <w:top w:w="20.0" w:type="dxa"/>
              <w:left w:w="20.0" w:type="dxa"/>
              <w:right w:w="20.0" w:type="dxa"/>
            </w:tcMar>
            <w:vAlign w:val="bottom"/>
          </w:tcPr>
          <w:p w:rsidR="00000000" w:rsidDel="00000000" w:rsidP="00000000" w:rsidRDefault="00000000" w:rsidRPr="00000000" w14:paraId="0000002F">
            <w:pPr>
              <w:widowControl w:val="0"/>
              <w:spacing w:line="240" w:lineRule="auto"/>
              <w:rPr>
                <w:rFonts w:ascii="Times New Roman" w:cs="Times New Roman" w:eastAsia="Times New Roman" w:hAnsi="Times New Roman"/>
                <w:b w:val="1"/>
                <w:bCs w:val="1"/>
                <w:sz w:val="20"/>
                <w:szCs w:val="20"/>
                <w:highlight w:val="white"/>
              </w:rPr>
            </w:pPr>
            <w:r w:rsidDel="00000000" w:rsidR="00000000" w:rsidRPr="00000000">
              <w:rPr>
                <w:rFonts w:ascii="Times New Roman" w:cs="Times New Roman" w:eastAsia="Times New Roman" w:hAnsi="Times New Roman"/>
                <w:b w:val="1"/>
                <w:bCs w:val="1"/>
                <w:sz w:val="20"/>
                <w:szCs w:val="20"/>
                <w:highlight w:val="white"/>
                <w:rtl w:val="0"/>
              </w:rPr>
              <w:t xml:space="preserve">Homes sold, YoY change</w:t>
            </w:r>
          </w:p>
        </w:tc>
        <w:tc>
          <w:tcPr>
            <w:tcMar>
              <w:top w:w="20.0" w:type="dxa"/>
              <w:left w:w="20.0" w:type="dxa"/>
              <w:right w:w="20.0" w:type="dxa"/>
            </w:tcMar>
            <w:vAlign w:val="bottom"/>
          </w:tcPr>
          <w:p w:rsidR="00000000" w:rsidDel="00000000" w:rsidP="00000000" w:rsidRDefault="00000000" w:rsidRPr="00000000" w14:paraId="00000030">
            <w:pPr>
              <w:widowControl w:val="0"/>
              <w:spacing w:line="240" w:lineRule="auto"/>
              <w:rPr>
                <w:rFonts w:ascii="Times New Roman" w:cs="Times New Roman" w:eastAsia="Times New Roman" w:hAnsi="Times New Roman"/>
                <w:sz w:val="20"/>
                <w:szCs w:val="20"/>
                <w:highlight w:val="white"/>
              </w:rPr>
            </w:pPr>
            <w:r w:rsidDel="00000000" w:rsidR="00000000" w:rsidRPr="00000000">
              <w:rPr>
                <w:rFonts w:ascii="Times New Roman" w:cs="Times New Roman" w:eastAsia="Times New Roman" w:hAnsi="Times New Roman"/>
                <w:sz w:val="20"/>
                <w:szCs w:val="20"/>
                <w:highlight w:val="white"/>
                <w:rtl w:val="0"/>
              </w:rPr>
              <w:t xml:space="preserve">8.8%</w:t>
            </w:r>
          </w:p>
        </w:tc>
        <w:tc>
          <w:tcPr>
            <w:tcMar>
              <w:top w:w="20.0" w:type="dxa"/>
              <w:left w:w="20.0" w:type="dxa"/>
              <w:right w:w="20.0" w:type="dxa"/>
            </w:tcMar>
            <w:vAlign w:val="bottom"/>
          </w:tcPr>
          <w:p w:rsidR="00000000" w:rsidDel="00000000" w:rsidP="00000000" w:rsidRDefault="00000000" w:rsidRPr="00000000" w14:paraId="00000031">
            <w:pPr>
              <w:widowControl w:val="0"/>
              <w:spacing w:line="240" w:lineRule="auto"/>
              <w:rPr>
                <w:rFonts w:ascii="Times New Roman" w:cs="Times New Roman" w:eastAsia="Times New Roman" w:hAnsi="Times New Roman"/>
                <w:sz w:val="20"/>
                <w:szCs w:val="20"/>
                <w:highlight w:val="white"/>
              </w:rPr>
            </w:pPr>
            <w:r w:rsidDel="00000000" w:rsidR="00000000" w:rsidRPr="00000000">
              <w:rPr>
                <w:rFonts w:ascii="Times New Roman" w:cs="Times New Roman" w:eastAsia="Times New Roman" w:hAnsi="Times New Roman"/>
                <w:sz w:val="20"/>
                <w:szCs w:val="20"/>
                <w:highlight w:val="white"/>
                <w:rtl w:val="0"/>
              </w:rPr>
              <w:t xml:space="preserve">6%</w:t>
            </w:r>
          </w:p>
        </w:tc>
        <w:tc>
          <w:tcPr>
            <w:tcMar>
              <w:top w:w="20.0" w:type="dxa"/>
              <w:left w:w="20.0" w:type="dxa"/>
              <w:right w:w="20.0" w:type="dxa"/>
            </w:tcMar>
            <w:vAlign w:val="bottom"/>
          </w:tcPr>
          <w:p w:rsidR="00000000" w:rsidDel="00000000" w:rsidP="00000000" w:rsidRDefault="00000000" w:rsidRPr="00000000" w14:paraId="00000032">
            <w:pPr>
              <w:widowControl w:val="0"/>
              <w:spacing w:line="240" w:lineRule="auto"/>
              <w:rPr>
                <w:rFonts w:ascii="Times New Roman" w:cs="Times New Roman" w:eastAsia="Times New Roman" w:hAnsi="Times New Roman"/>
                <w:sz w:val="20"/>
                <w:szCs w:val="20"/>
                <w:highlight w:val="white"/>
              </w:rPr>
            </w:pPr>
            <w:r w:rsidDel="00000000" w:rsidR="00000000" w:rsidRPr="00000000">
              <w:rPr>
                <w:rFonts w:ascii="Times New Roman" w:cs="Times New Roman" w:eastAsia="Times New Roman" w:hAnsi="Times New Roman"/>
                <w:sz w:val="20"/>
                <w:szCs w:val="20"/>
                <w:highlight w:val="white"/>
                <w:rtl w:val="0"/>
              </w:rPr>
              <w:t xml:space="preserve">43.9%</w:t>
            </w:r>
          </w:p>
        </w:tc>
      </w:tr>
      <w:tr>
        <w:trPr>
          <w:cantSplit w:val="0"/>
          <w:trHeight w:val="330" w:hRule="atLeast"/>
          <w:tblHeader w:val="1"/>
        </w:trPr>
        <w:tc>
          <w:tcPr>
            <w:tcMar>
              <w:top w:w="20.0" w:type="dxa"/>
              <w:left w:w="20.0" w:type="dxa"/>
              <w:right w:w="20.0" w:type="dxa"/>
            </w:tcMar>
            <w:vAlign w:val="bottom"/>
          </w:tcPr>
          <w:p w:rsidR="00000000" w:rsidDel="00000000" w:rsidP="00000000" w:rsidRDefault="00000000" w:rsidRPr="00000000" w14:paraId="00000033">
            <w:pPr>
              <w:widowControl w:val="0"/>
              <w:spacing w:line="240" w:lineRule="auto"/>
              <w:rPr>
                <w:rFonts w:ascii="Times New Roman" w:cs="Times New Roman" w:eastAsia="Times New Roman" w:hAnsi="Times New Roman"/>
                <w:b w:val="1"/>
                <w:bCs w:val="1"/>
                <w:sz w:val="20"/>
                <w:szCs w:val="20"/>
                <w:highlight w:val="white"/>
              </w:rPr>
            </w:pPr>
            <w:r w:rsidDel="00000000" w:rsidR="00000000" w:rsidRPr="00000000">
              <w:rPr>
                <w:rFonts w:ascii="Times New Roman" w:cs="Times New Roman" w:eastAsia="Times New Roman" w:hAnsi="Times New Roman"/>
                <w:b w:val="1"/>
                <w:bCs w:val="1"/>
                <w:sz w:val="20"/>
                <w:szCs w:val="20"/>
                <w:highlight w:val="white"/>
                <w:rtl w:val="0"/>
              </w:rPr>
              <w:t xml:space="preserve">New listings, YoY change</w:t>
            </w:r>
          </w:p>
        </w:tc>
        <w:tc>
          <w:tcPr>
            <w:tcMar>
              <w:top w:w="20.0" w:type="dxa"/>
              <w:left w:w="20.0" w:type="dxa"/>
              <w:right w:w="20.0" w:type="dxa"/>
            </w:tcMar>
            <w:vAlign w:val="bottom"/>
          </w:tcPr>
          <w:p w:rsidR="00000000" w:rsidDel="00000000" w:rsidP="00000000" w:rsidRDefault="00000000" w:rsidRPr="00000000" w14:paraId="00000034">
            <w:pPr>
              <w:widowControl w:val="0"/>
              <w:spacing w:line="240" w:lineRule="auto"/>
              <w:rPr>
                <w:rFonts w:ascii="Times New Roman" w:cs="Times New Roman" w:eastAsia="Times New Roman" w:hAnsi="Times New Roman"/>
                <w:sz w:val="20"/>
                <w:szCs w:val="20"/>
                <w:highlight w:val="white"/>
              </w:rPr>
            </w:pPr>
            <w:r w:rsidDel="00000000" w:rsidR="00000000" w:rsidRPr="00000000">
              <w:rPr>
                <w:rFonts w:ascii="Times New Roman" w:cs="Times New Roman" w:eastAsia="Times New Roman" w:hAnsi="Times New Roman"/>
                <w:sz w:val="20"/>
                <w:szCs w:val="20"/>
                <w:highlight w:val="white"/>
                <w:rtl w:val="0"/>
              </w:rPr>
              <w:t xml:space="preserve">-5.6%</w:t>
            </w:r>
          </w:p>
        </w:tc>
        <w:tc>
          <w:tcPr>
            <w:tcMar>
              <w:top w:w="20.0" w:type="dxa"/>
              <w:left w:w="20.0" w:type="dxa"/>
              <w:right w:w="20.0" w:type="dxa"/>
            </w:tcMar>
            <w:vAlign w:val="bottom"/>
          </w:tcPr>
          <w:p w:rsidR="00000000" w:rsidDel="00000000" w:rsidP="00000000" w:rsidRDefault="00000000" w:rsidRPr="00000000" w14:paraId="00000035">
            <w:pPr>
              <w:widowControl w:val="0"/>
              <w:spacing w:line="240" w:lineRule="auto"/>
              <w:rPr>
                <w:rFonts w:ascii="Times New Roman" w:cs="Times New Roman" w:eastAsia="Times New Roman" w:hAnsi="Times New Roman"/>
                <w:sz w:val="20"/>
                <w:szCs w:val="20"/>
                <w:highlight w:val="white"/>
              </w:rPr>
            </w:pPr>
            <w:r w:rsidDel="00000000" w:rsidR="00000000" w:rsidRPr="00000000">
              <w:rPr>
                <w:rFonts w:ascii="Times New Roman" w:cs="Times New Roman" w:eastAsia="Times New Roman" w:hAnsi="Times New Roman"/>
                <w:sz w:val="20"/>
                <w:szCs w:val="20"/>
                <w:highlight w:val="white"/>
                <w:rtl w:val="0"/>
              </w:rPr>
              <w:t xml:space="preserve">-11.1%</w:t>
            </w:r>
          </w:p>
        </w:tc>
        <w:tc>
          <w:tcPr>
            <w:tcMar>
              <w:top w:w="20.0" w:type="dxa"/>
              <w:left w:w="20.0" w:type="dxa"/>
              <w:right w:w="20.0" w:type="dxa"/>
            </w:tcMar>
            <w:vAlign w:val="bottom"/>
          </w:tcPr>
          <w:p w:rsidR="00000000" w:rsidDel="00000000" w:rsidP="00000000" w:rsidRDefault="00000000" w:rsidRPr="00000000" w14:paraId="00000036">
            <w:pPr>
              <w:widowControl w:val="0"/>
              <w:spacing w:line="240" w:lineRule="auto"/>
              <w:rPr>
                <w:rFonts w:ascii="Times New Roman" w:cs="Times New Roman" w:eastAsia="Times New Roman" w:hAnsi="Times New Roman"/>
                <w:sz w:val="20"/>
                <w:szCs w:val="20"/>
                <w:highlight w:val="white"/>
              </w:rPr>
            </w:pPr>
            <w:r w:rsidDel="00000000" w:rsidR="00000000" w:rsidRPr="00000000">
              <w:rPr>
                <w:rFonts w:ascii="Times New Roman" w:cs="Times New Roman" w:eastAsia="Times New Roman" w:hAnsi="Times New Roman"/>
                <w:sz w:val="20"/>
                <w:szCs w:val="20"/>
                <w:highlight w:val="white"/>
                <w:rtl w:val="0"/>
              </w:rPr>
              <w:t xml:space="preserve">21.9%</w:t>
            </w:r>
          </w:p>
        </w:tc>
      </w:tr>
      <w:tr>
        <w:trPr>
          <w:cantSplit w:val="0"/>
          <w:trHeight w:val="330" w:hRule="atLeast"/>
          <w:tblHeader w:val="1"/>
        </w:trPr>
        <w:tc>
          <w:tcPr>
            <w:tcMar>
              <w:top w:w="20.0" w:type="dxa"/>
              <w:left w:w="20.0" w:type="dxa"/>
              <w:right w:w="20.0" w:type="dxa"/>
            </w:tcMar>
            <w:vAlign w:val="bottom"/>
          </w:tcPr>
          <w:p w:rsidR="00000000" w:rsidDel="00000000" w:rsidP="00000000" w:rsidRDefault="00000000" w:rsidRPr="00000000" w14:paraId="00000037">
            <w:pPr>
              <w:widowControl w:val="0"/>
              <w:spacing w:line="240" w:lineRule="auto"/>
              <w:rPr>
                <w:rFonts w:ascii="Times New Roman" w:cs="Times New Roman" w:eastAsia="Times New Roman" w:hAnsi="Times New Roman"/>
                <w:b w:val="1"/>
                <w:bCs w:val="1"/>
                <w:sz w:val="20"/>
                <w:szCs w:val="20"/>
                <w:highlight w:val="white"/>
              </w:rPr>
            </w:pPr>
            <w:r w:rsidDel="00000000" w:rsidR="00000000" w:rsidRPr="00000000">
              <w:rPr>
                <w:rFonts w:ascii="Times New Roman" w:cs="Times New Roman" w:eastAsia="Times New Roman" w:hAnsi="Times New Roman"/>
                <w:b w:val="1"/>
                <w:bCs w:val="1"/>
                <w:sz w:val="20"/>
                <w:szCs w:val="20"/>
                <w:highlight w:val="white"/>
                <w:rtl w:val="0"/>
              </w:rPr>
              <w:t xml:space="preserve">Active listings, YoY change</w:t>
            </w:r>
          </w:p>
        </w:tc>
        <w:tc>
          <w:tcPr>
            <w:tcMar>
              <w:top w:w="20.0" w:type="dxa"/>
              <w:left w:w="20.0" w:type="dxa"/>
              <w:right w:w="20.0" w:type="dxa"/>
            </w:tcMar>
            <w:vAlign w:val="bottom"/>
          </w:tcPr>
          <w:p w:rsidR="00000000" w:rsidDel="00000000" w:rsidP="00000000" w:rsidRDefault="00000000" w:rsidRPr="00000000" w14:paraId="00000038">
            <w:pPr>
              <w:widowControl w:val="0"/>
              <w:spacing w:line="240" w:lineRule="auto"/>
              <w:rPr>
                <w:rFonts w:ascii="Times New Roman" w:cs="Times New Roman" w:eastAsia="Times New Roman" w:hAnsi="Times New Roman"/>
                <w:sz w:val="20"/>
                <w:szCs w:val="20"/>
                <w:highlight w:val="white"/>
              </w:rPr>
            </w:pPr>
            <w:r w:rsidDel="00000000" w:rsidR="00000000" w:rsidRPr="00000000">
              <w:rPr>
                <w:rFonts w:ascii="Times New Roman" w:cs="Times New Roman" w:eastAsia="Times New Roman" w:hAnsi="Times New Roman"/>
                <w:sz w:val="20"/>
                <w:szCs w:val="20"/>
                <w:highlight w:val="white"/>
                <w:rtl w:val="0"/>
              </w:rPr>
              <w:t xml:space="preserve">-18.1%</w:t>
            </w:r>
          </w:p>
        </w:tc>
        <w:tc>
          <w:tcPr>
            <w:tcMar>
              <w:top w:w="20.0" w:type="dxa"/>
              <w:left w:w="20.0" w:type="dxa"/>
              <w:right w:w="20.0" w:type="dxa"/>
            </w:tcMar>
            <w:vAlign w:val="bottom"/>
          </w:tcPr>
          <w:p w:rsidR="00000000" w:rsidDel="00000000" w:rsidP="00000000" w:rsidRDefault="00000000" w:rsidRPr="00000000" w14:paraId="00000039">
            <w:pPr>
              <w:widowControl w:val="0"/>
              <w:spacing w:line="240" w:lineRule="auto"/>
              <w:rPr>
                <w:rFonts w:ascii="Times New Roman" w:cs="Times New Roman" w:eastAsia="Times New Roman" w:hAnsi="Times New Roman"/>
                <w:sz w:val="20"/>
                <w:szCs w:val="20"/>
                <w:highlight w:val="white"/>
              </w:rPr>
            </w:pPr>
            <w:r w:rsidDel="00000000" w:rsidR="00000000" w:rsidRPr="00000000">
              <w:rPr>
                <w:rFonts w:ascii="Times New Roman" w:cs="Times New Roman" w:eastAsia="Times New Roman" w:hAnsi="Times New Roman"/>
                <w:sz w:val="20"/>
                <w:szCs w:val="20"/>
                <w:highlight w:val="white"/>
                <w:rtl w:val="0"/>
              </w:rPr>
              <w:t xml:space="preserve">-16.1%</w:t>
            </w:r>
          </w:p>
        </w:tc>
        <w:tc>
          <w:tcPr>
            <w:tcMar>
              <w:top w:w="20.0" w:type="dxa"/>
              <w:left w:w="20.0" w:type="dxa"/>
              <w:right w:w="20.0" w:type="dxa"/>
            </w:tcMar>
            <w:vAlign w:val="bottom"/>
          </w:tcPr>
          <w:p w:rsidR="00000000" w:rsidDel="00000000" w:rsidP="00000000" w:rsidRDefault="00000000" w:rsidRPr="00000000" w14:paraId="0000003A">
            <w:pPr>
              <w:widowControl w:val="0"/>
              <w:spacing w:line="240" w:lineRule="auto"/>
              <w:rPr>
                <w:rFonts w:ascii="Times New Roman" w:cs="Times New Roman" w:eastAsia="Times New Roman" w:hAnsi="Times New Roman"/>
                <w:sz w:val="20"/>
                <w:szCs w:val="20"/>
                <w:highlight w:val="white"/>
              </w:rPr>
            </w:pPr>
            <w:r w:rsidDel="00000000" w:rsidR="00000000" w:rsidRPr="00000000">
              <w:rPr>
                <w:rFonts w:ascii="Times New Roman" w:cs="Times New Roman" w:eastAsia="Times New Roman" w:hAnsi="Times New Roman"/>
                <w:sz w:val="20"/>
                <w:szCs w:val="20"/>
                <w:highlight w:val="white"/>
                <w:rtl w:val="0"/>
              </w:rPr>
              <w:t xml:space="preserve">-6%</w:t>
            </w:r>
          </w:p>
        </w:tc>
      </w:tr>
    </w:tbl>
    <w:p w:rsidR="00000000" w:rsidDel="00000000" w:rsidP="00000000" w:rsidRDefault="00000000" w:rsidRPr="00000000" w14:paraId="0000003B">
      <w:pPr>
        <w:rPr/>
      </w:pPr>
      <w:r w:rsidDel="00000000" w:rsidR="00000000" w:rsidRPr="00000000">
        <w:rPr>
          <w:rtl w:val="0"/>
        </w:rPr>
      </w:r>
    </w:p>
    <w:p w:rsidR="00000000" w:rsidDel="00000000" w:rsidP="00000000" w:rsidRDefault="00000000" w:rsidRPr="00000000" w14:paraId="0000003C">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To view the full report, including the latest market data for both metros above, please visit: </w:t>
      </w:r>
    </w:p>
    <w:p w:rsidR="00000000" w:rsidDel="00000000" w:rsidP="00000000" w:rsidRDefault="00000000" w:rsidRPr="00000000" w14:paraId="0000003D">
      <w:pPr>
        <w:spacing w:line="240" w:lineRule="auto"/>
        <w:rPr>
          <w:rFonts w:ascii="Times New Roman" w:cs="Times New Roman" w:eastAsia="Times New Roman" w:hAnsi="Times New Roman"/>
          <w:sz w:val="24"/>
          <w:szCs w:val="24"/>
        </w:rPr>
      </w:pPr>
      <w:hyperlink r:id="rId16">
        <w:r w:rsidDel="00000000" w:rsidR="00000000" w:rsidRPr="00000000">
          <w:rPr>
            <w:rFonts w:ascii="Times New Roman" w:cs="Times New Roman" w:eastAsia="Times New Roman" w:hAnsi="Times New Roman"/>
            <w:color w:val="1155cc"/>
            <w:sz w:val="24"/>
            <w:szCs w:val="24"/>
            <w:u w:val="single"/>
            <w:rtl w:val="0"/>
          </w:rPr>
          <w:t xml:space="preserve">https://www.redfin.com/news/luxury-housing-market-florida-july-2026</w:t>
        </w:r>
      </w:hyperlink>
      <w:r w:rsidDel="00000000" w:rsidR="00000000" w:rsidRPr="00000000">
        <w:rPr>
          <w:rtl w:val="0"/>
        </w:rPr>
      </w:r>
    </w:p>
    <w:p w:rsidR="00000000" w:rsidDel="00000000" w:rsidP="00000000" w:rsidRDefault="00000000" w:rsidRPr="00000000" w14:paraId="0000003E">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F">
      <w:pPr>
        <w:widowControl w:val="0"/>
        <w:spacing w:line="240" w:lineRule="auto"/>
        <w:rPr>
          <w:rFonts w:ascii="Times New Roman" w:cs="Times New Roman" w:eastAsia="Times New Roman" w:hAnsi="Times New Roman"/>
          <w:b w:val="1"/>
          <w:bCs w:val="1"/>
          <w:sz w:val="24"/>
          <w:szCs w:val="24"/>
          <w:highlight w:val="white"/>
        </w:rPr>
      </w:pPr>
      <w:r w:rsidDel="00000000" w:rsidR="00000000" w:rsidRPr="00000000">
        <w:rPr>
          <w:rFonts w:ascii="Times New Roman" w:cs="Times New Roman" w:eastAsia="Times New Roman" w:hAnsi="Times New Roman"/>
          <w:b w:val="1"/>
          <w:bCs w:val="1"/>
          <w:sz w:val="24"/>
          <w:szCs w:val="24"/>
          <w:highlight w:val="white"/>
          <w:rtl w:val="0"/>
        </w:rPr>
        <w:t xml:space="preserve">About Redfin </w:t>
      </w:r>
    </w:p>
    <w:p w:rsidR="00000000" w:rsidDel="00000000" w:rsidP="00000000" w:rsidRDefault="00000000" w:rsidRPr="00000000" w14:paraId="00000040">
      <w:pPr>
        <w:shd w:fill="ffffff" w:val="clear"/>
        <w:spacing w:line="240" w:lineRule="auto"/>
        <w:rPr>
          <w:rFonts w:ascii="Times New Roman" w:cs="Times New Roman" w:eastAsia="Times New Roman" w:hAnsi="Times New Roman"/>
          <w:color w:val="222222"/>
          <w:sz w:val="24"/>
          <w:szCs w:val="24"/>
        </w:rPr>
      </w:pPr>
      <w:bookmarkStart w:colFirst="0" w:colLast="0" w:name="_soasl9tf97ub" w:id="0"/>
      <w:bookmarkEnd w:id="0"/>
      <w:r w:rsidDel="00000000" w:rsidR="00000000" w:rsidRPr="00000000">
        <w:rPr>
          <w:rFonts w:ascii="Times New Roman" w:cs="Times New Roman" w:eastAsia="Times New Roman" w:hAnsi="Times New Roman"/>
          <w:color w:val="222222"/>
          <w:sz w:val="24"/>
          <w:szCs w:val="24"/>
          <w:rtl w:val="0"/>
        </w:rPr>
        <w:t xml:space="preserve">Redfin is a technology-driven real estate company with the country's most-visited real estate brokerage website. As part of Rocket Companies (NYSE: RKT), Redfin is creating an integrated homeownership platform from search to close to make the dream of homeownership more affordable and accessible for everyone. Redfin’s clients can see homes first with on-demand tours, easily apply for a home loan with Rocket Mortgage, and save thousands in fees while working with a top local agent.</w:t>
      </w:r>
    </w:p>
    <w:p w:rsidR="00000000" w:rsidDel="00000000" w:rsidP="00000000" w:rsidRDefault="00000000" w:rsidRPr="00000000" w14:paraId="00000041">
      <w:pPr>
        <w:shd w:fill="ffffff" w:val="clear"/>
        <w:spacing w:line="240" w:lineRule="auto"/>
        <w:rPr>
          <w:rFonts w:ascii="Times New Roman" w:cs="Times New Roman" w:eastAsia="Times New Roman" w:hAnsi="Times New Roman"/>
          <w:color w:val="222222"/>
          <w:sz w:val="24"/>
          <w:szCs w:val="24"/>
        </w:rPr>
      </w:pPr>
      <w:bookmarkStart w:colFirst="0" w:colLast="0" w:name="_crpdcks0yiu3" w:id="1"/>
      <w:bookmarkEnd w:id="1"/>
      <w:r w:rsidDel="00000000" w:rsidR="00000000" w:rsidRPr="00000000">
        <w:rPr>
          <w:rtl w:val="0"/>
        </w:rPr>
      </w:r>
    </w:p>
    <w:p w:rsidR="00000000" w:rsidDel="00000000" w:rsidP="00000000" w:rsidRDefault="00000000" w:rsidRPr="00000000" w14:paraId="00000042">
      <w:pPr>
        <w:shd w:fill="ffffff" w:val="clear"/>
        <w:spacing w:line="240" w:lineRule="auto"/>
        <w:rPr>
          <w:rFonts w:ascii="Times New Roman" w:cs="Times New Roman" w:eastAsia="Times New Roman" w:hAnsi="Times New Roman"/>
          <w:color w:val="222222"/>
          <w:sz w:val="24"/>
          <w:szCs w:val="24"/>
        </w:rPr>
      </w:pPr>
      <w:bookmarkStart w:colFirst="0" w:colLast="0" w:name="_5836k6udoem6" w:id="2"/>
      <w:bookmarkEnd w:id="2"/>
      <w:r w:rsidDel="00000000" w:rsidR="00000000" w:rsidRPr="00000000">
        <w:rPr>
          <w:rFonts w:ascii="Times New Roman" w:cs="Times New Roman" w:eastAsia="Times New Roman" w:hAnsi="Times New Roman"/>
          <w:color w:val="222222"/>
          <w:sz w:val="24"/>
          <w:szCs w:val="24"/>
          <w:rtl w:val="0"/>
        </w:rPr>
        <w:t xml:space="preserve">You can find more information about Redfin and get the latest housing market data and research at </w:t>
      </w:r>
      <w:hyperlink r:id="rId17">
        <w:r w:rsidDel="00000000" w:rsidR="00000000" w:rsidRPr="00000000">
          <w:rPr>
            <w:rFonts w:ascii="Times New Roman" w:cs="Times New Roman" w:eastAsia="Times New Roman" w:hAnsi="Times New Roman"/>
            <w:color w:val="1155cc"/>
            <w:sz w:val="24"/>
            <w:szCs w:val="24"/>
            <w:u w:val="single"/>
            <w:rtl w:val="0"/>
          </w:rPr>
          <w:t xml:space="preserve">https://www.redfin.com/news</w:t>
        </w:r>
      </w:hyperlink>
      <w:r w:rsidDel="00000000" w:rsidR="00000000" w:rsidRPr="00000000">
        <w:rPr>
          <w:rFonts w:ascii="Times New Roman" w:cs="Times New Roman" w:eastAsia="Times New Roman" w:hAnsi="Times New Roman"/>
          <w:color w:val="222222"/>
          <w:sz w:val="24"/>
          <w:szCs w:val="24"/>
          <w:rtl w:val="0"/>
        </w:rPr>
        <w:t xml:space="preserve">. For more information about Rocket Companies, visit </w:t>
      </w:r>
      <w:hyperlink r:id="rId18">
        <w:r w:rsidDel="00000000" w:rsidR="00000000" w:rsidRPr="00000000">
          <w:rPr>
            <w:rFonts w:ascii="Times New Roman" w:cs="Times New Roman" w:eastAsia="Times New Roman" w:hAnsi="Times New Roman"/>
            <w:color w:val="1155cc"/>
            <w:sz w:val="24"/>
            <w:szCs w:val="24"/>
            <w:u w:val="single"/>
            <w:shd w:fill="f8f8f8" w:val="clear"/>
            <w:rtl w:val="0"/>
          </w:rPr>
          <w:t xml:space="preserve">https://www.rocketcompanies.com</w:t>
        </w:r>
      </w:hyperlink>
      <w:r w:rsidDel="00000000" w:rsidR="00000000" w:rsidRPr="00000000">
        <w:rPr>
          <w:rFonts w:ascii="Times New Roman" w:cs="Times New Roman" w:eastAsia="Times New Roman" w:hAnsi="Times New Roman"/>
          <w:color w:val="222222"/>
          <w:sz w:val="24"/>
          <w:szCs w:val="24"/>
          <w:rtl w:val="0"/>
        </w:rPr>
        <w:t xml:space="preserve">.</w:t>
      </w:r>
    </w:p>
    <w:p w:rsidR="00000000" w:rsidDel="00000000" w:rsidP="00000000" w:rsidRDefault="00000000" w:rsidRPr="00000000" w14:paraId="00000043">
      <w:pPr>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4">
      <w:pPr>
        <w:widowControl w:val="0"/>
        <w:spacing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Contact Redfin Journalist Services: </w:t>
      </w:r>
    </w:p>
    <w:p w:rsidR="00000000" w:rsidDel="00000000" w:rsidP="00000000" w:rsidRDefault="00000000" w:rsidRPr="00000000" w14:paraId="00000045">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Kenneth Applewhaite</w:t>
      </w:r>
      <w:r w:rsidDel="00000000" w:rsidR="00000000" w:rsidRPr="00000000">
        <w:rPr>
          <w:rtl w:val="0"/>
        </w:rPr>
      </w:r>
    </w:p>
    <w:p w:rsidR="00000000" w:rsidDel="00000000" w:rsidP="00000000" w:rsidRDefault="00000000" w:rsidRPr="00000000" w14:paraId="00000046">
      <w:pPr>
        <w:widowControl w:val="0"/>
        <w:spacing w:line="240" w:lineRule="auto"/>
        <w:rPr>
          <w:rFonts w:ascii="Times New Roman" w:cs="Times New Roman" w:eastAsia="Times New Roman" w:hAnsi="Times New Roman"/>
          <w:sz w:val="24"/>
          <w:szCs w:val="24"/>
        </w:rPr>
      </w:pPr>
      <w:hyperlink r:id="rId19">
        <w:r w:rsidDel="00000000" w:rsidR="00000000" w:rsidRPr="00000000">
          <w:rPr>
            <w:rFonts w:ascii="Times New Roman" w:cs="Times New Roman" w:eastAsia="Times New Roman" w:hAnsi="Times New Roman"/>
            <w:color w:val="1155cc"/>
            <w:sz w:val="24"/>
            <w:szCs w:val="24"/>
            <w:u w:val="single"/>
            <w:rtl w:val="0"/>
          </w:rPr>
          <w:t xml:space="preserve">press@redfin.com</w:t>
        </w:r>
      </w:hyperlink>
      <w:r w:rsidDel="00000000" w:rsidR="00000000" w:rsidRPr="00000000">
        <w:rPr>
          <w:rtl w:val="0"/>
        </w:rPr>
      </w:r>
    </w:p>
    <w:p w:rsidR="00000000" w:rsidDel="00000000" w:rsidP="00000000" w:rsidRDefault="00000000" w:rsidRPr="00000000" w14:paraId="00000047">
      <w:pPr>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8">
      <w:pPr>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9">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sectPr>
      <w:headerReference r:id="rId20"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A">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s>
</file>

<file path=word/_rels/document.xml.rels><?xml version="1.0" encoding="UTF-8" standalone="yes"?><Relationships xmlns="http://schemas.openxmlformats.org/package/2006/relationships"><Relationship Id="rId20" Type="http://schemas.openxmlformats.org/officeDocument/2006/relationships/header" Target="header1.xml"/><Relationship Id="rId11" Type="http://schemas.openxmlformats.org/officeDocument/2006/relationships/hyperlink" Target="https://jonathanbuchhomes.com/" TargetMode="External"/><Relationship Id="rId10" Type="http://schemas.openxmlformats.org/officeDocument/2006/relationships/hyperlink" Target="https://www.redfin.com/news/most-expensive-home-sales-july-2026/" TargetMode="External"/><Relationship Id="rId13" Type="http://schemas.openxmlformats.org/officeDocument/2006/relationships/hyperlink" Target="https://www.redfin.com/city/11458/FL/Miami" TargetMode="External"/><Relationship Id="rId12" Type="http://schemas.openxmlformats.org/officeDocument/2006/relationships/hyperlink" Target="https://www.redfin.com/premier"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redfin.com/news/most-expensive-home-sales-march-2026/" TargetMode="External"/><Relationship Id="rId15" Type="http://schemas.openxmlformats.org/officeDocument/2006/relationships/hyperlink" Target="https://www.redfin.com/city/19373/FL/West-Palm-Beach" TargetMode="External"/><Relationship Id="rId14" Type="http://schemas.openxmlformats.org/officeDocument/2006/relationships/hyperlink" Target="https://www.redfin.com/city/18142/FL/Tampa" TargetMode="External"/><Relationship Id="rId17" Type="http://schemas.openxmlformats.org/officeDocument/2006/relationships/hyperlink" Target="https://www.redfin.com/news" TargetMode="External"/><Relationship Id="rId16" Type="http://schemas.openxmlformats.org/officeDocument/2006/relationships/hyperlink" Target="https://www.redfin.com/news/luxury-housing-market-florida-july-2026" TargetMode="External"/><Relationship Id="rId5" Type="http://schemas.openxmlformats.org/officeDocument/2006/relationships/styles" Target="styles.xml"/><Relationship Id="rId19" Type="http://schemas.openxmlformats.org/officeDocument/2006/relationships/hyperlink" Target="mailto:press@redfin.com" TargetMode="External"/><Relationship Id="rId6" Type="http://schemas.openxmlformats.org/officeDocument/2006/relationships/hyperlink" Target="https://www.redfin.com/news/luxury-housing-market-florida-july-2026" TargetMode="External"/><Relationship Id="rId18" Type="http://schemas.openxmlformats.org/officeDocument/2006/relationships/hyperlink" Target="https://www.rocketcompanies.com/" TargetMode="External"/><Relationship Id="rId7" Type="http://schemas.openxmlformats.org/officeDocument/2006/relationships/hyperlink" Target="https://www.redfin.com/" TargetMode="External"/><Relationship Id="rId8" Type="http://schemas.openxmlformats.org/officeDocument/2006/relationships/hyperlink" Target="https://www.redfin.com/news/migration-q1-20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